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33" w:rsidRPr="00473D42" w:rsidRDefault="00197A85">
      <w:pPr>
        <w:rPr>
          <w:sz w:val="24"/>
          <w:szCs w:val="24"/>
          <w:lang w:val="es-ES"/>
        </w:rPr>
      </w:pPr>
      <w:bookmarkStart w:id="0" w:name="_GoBack"/>
      <w:bookmarkEnd w:id="0"/>
      <w:r w:rsidRPr="00473D42">
        <w:rPr>
          <w:i/>
          <w:sz w:val="24"/>
          <w:szCs w:val="24"/>
          <w:lang w:val="es-ES"/>
        </w:rPr>
        <w:t>Nota informativa</w:t>
      </w:r>
      <w:r w:rsidR="004360A0" w:rsidRPr="00473D42">
        <w:rPr>
          <w:i/>
          <w:sz w:val="24"/>
          <w:szCs w:val="24"/>
          <w:lang w:val="es-ES"/>
        </w:rPr>
        <w:t xml:space="preserve"> de la IE – Actualización de marzo de 2016</w:t>
      </w:r>
      <w:r w:rsidR="00E50912" w:rsidRPr="00473D42">
        <w:rPr>
          <w:i/>
          <w:sz w:val="24"/>
          <w:szCs w:val="24"/>
          <w:lang w:val="es-ES"/>
        </w:rPr>
        <w:tab/>
      </w:r>
      <w:r w:rsidR="00E50912" w:rsidRPr="00473D42">
        <w:rPr>
          <w:i/>
          <w:sz w:val="24"/>
          <w:szCs w:val="24"/>
          <w:lang w:val="es-ES"/>
        </w:rPr>
        <w:tab/>
      </w:r>
      <w:r w:rsidR="00E50912" w:rsidRPr="00473D42">
        <w:rPr>
          <w:i/>
          <w:sz w:val="24"/>
          <w:szCs w:val="24"/>
          <w:lang w:val="es-ES"/>
        </w:rPr>
        <w:tab/>
      </w:r>
      <w:r w:rsidR="00E50912" w:rsidRPr="00473D42">
        <w:rPr>
          <w:i/>
          <w:sz w:val="24"/>
          <w:szCs w:val="24"/>
          <w:lang w:val="es-ES"/>
        </w:rPr>
        <w:tab/>
      </w:r>
      <w:r w:rsidR="00E50912" w:rsidRPr="00473D42">
        <w:rPr>
          <w:i/>
          <w:sz w:val="24"/>
          <w:szCs w:val="24"/>
          <w:lang w:val="es-ES"/>
        </w:rPr>
        <w:tab/>
      </w:r>
      <w:r w:rsidR="00E50912" w:rsidRPr="00473D42">
        <w:rPr>
          <w:i/>
          <w:sz w:val="24"/>
          <w:szCs w:val="24"/>
          <w:lang w:val="es-ES"/>
        </w:rPr>
        <w:tab/>
      </w:r>
    </w:p>
    <w:p w:rsidR="004360A0" w:rsidRPr="00473D42" w:rsidRDefault="004360A0">
      <w:pPr>
        <w:rPr>
          <w:b/>
          <w:sz w:val="32"/>
          <w:szCs w:val="32"/>
          <w:lang w:val="es-ES"/>
        </w:rPr>
      </w:pPr>
      <w:r w:rsidRPr="00473D42">
        <w:rPr>
          <w:b/>
          <w:sz w:val="32"/>
          <w:szCs w:val="32"/>
          <w:lang w:val="es-ES"/>
        </w:rPr>
        <w:t>Acuerdo sobre el Comercio de Servicios (TISA)</w:t>
      </w:r>
    </w:p>
    <w:p w:rsidR="00041ECF" w:rsidRPr="00473D42" w:rsidRDefault="00041ECF">
      <w:pPr>
        <w:rPr>
          <w:b/>
          <w:lang w:val="es-ES"/>
        </w:rPr>
      </w:pPr>
    </w:p>
    <w:p w:rsidR="00D54379" w:rsidRPr="00473D42" w:rsidRDefault="004360A0">
      <w:pPr>
        <w:rPr>
          <w:b/>
          <w:lang w:val="es-ES"/>
        </w:rPr>
      </w:pPr>
      <w:r w:rsidRPr="00473D42">
        <w:rPr>
          <w:b/>
          <w:lang w:val="es-ES"/>
        </w:rPr>
        <w:t>¿Qué es el TISA?</w:t>
      </w:r>
    </w:p>
    <w:p w:rsidR="006918C2" w:rsidRPr="00473D42" w:rsidRDefault="006918C2" w:rsidP="00DD2894">
      <w:pPr>
        <w:jc w:val="both"/>
        <w:rPr>
          <w:lang w:val="es-ES"/>
        </w:rPr>
      </w:pPr>
      <w:r w:rsidRPr="00473D42">
        <w:rPr>
          <w:lang w:val="es-ES"/>
        </w:rPr>
        <w:t>Las negociaciones</w:t>
      </w:r>
      <w:r w:rsidR="00F74721">
        <w:rPr>
          <w:lang w:val="es-ES"/>
        </w:rPr>
        <w:t xml:space="preserve"> relativas al</w:t>
      </w:r>
      <w:r w:rsidRPr="00473D42">
        <w:rPr>
          <w:lang w:val="es-ES"/>
        </w:rPr>
        <w:t xml:space="preserve"> Acuerdo sobre el Comercio de Servicios (T</w:t>
      </w:r>
      <w:r w:rsidR="00197A85" w:rsidRPr="00473D42">
        <w:rPr>
          <w:lang w:val="es-ES"/>
        </w:rPr>
        <w:t>I</w:t>
      </w:r>
      <w:r w:rsidRPr="00473D42">
        <w:rPr>
          <w:lang w:val="es-ES"/>
        </w:rPr>
        <w:t xml:space="preserve">SA) fueron propuestas por Estados Unidos y Australia a principios de 2012. </w:t>
      </w:r>
      <w:r w:rsidR="00FC1570">
        <w:rPr>
          <w:lang w:val="es-ES"/>
        </w:rPr>
        <w:t xml:space="preserve">Estas negociaciones fueron una </w:t>
      </w:r>
      <w:r w:rsidRPr="00473D42">
        <w:rPr>
          <w:lang w:val="es-ES"/>
        </w:rPr>
        <w:t>respuesta a</w:t>
      </w:r>
      <w:r w:rsidR="0010773B" w:rsidRPr="00473D42">
        <w:rPr>
          <w:lang w:val="es-ES"/>
        </w:rPr>
        <w:t xml:space="preserve">l </w:t>
      </w:r>
      <w:r w:rsidRPr="00473D42">
        <w:rPr>
          <w:lang w:val="es-ES"/>
        </w:rPr>
        <w:t xml:space="preserve">estancamiento </w:t>
      </w:r>
      <w:r w:rsidR="0010773B" w:rsidRPr="00473D42">
        <w:rPr>
          <w:lang w:val="es-ES"/>
        </w:rPr>
        <w:t>de</w:t>
      </w:r>
      <w:r w:rsidRPr="00473D42">
        <w:rPr>
          <w:lang w:val="es-ES"/>
        </w:rPr>
        <w:t xml:space="preserve"> las negociaciones comerciales de la OMC, </w:t>
      </w:r>
      <w:r w:rsidR="0010773B" w:rsidRPr="00473D42">
        <w:rPr>
          <w:lang w:val="es-ES"/>
        </w:rPr>
        <w:t xml:space="preserve">entre </w:t>
      </w:r>
      <w:r w:rsidRPr="00473D42">
        <w:rPr>
          <w:lang w:val="es-ES"/>
        </w:rPr>
        <w:t xml:space="preserve">las </w:t>
      </w:r>
      <w:r w:rsidR="00FC1570">
        <w:rPr>
          <w:lang w:val="es-ES"/>
        </w:rPr>
        <w:t xml:space="preserve">que se encontraban las </w:t>
      </w:r>
      <w:r w:rsidR="0010773B" w:rsidRPr="00473D42">
        <w:rPr>
          <w:lang w:val="es-ES"/>
        </w:rPr>
        <w:t>negociaciones destinadas a</w:t>
      </w:r>
      <w:r w:rsidRPr="00473D42">
        <w:rPr>
          <w:lang w:val="es-ES"/>
        </w:rPr>
        <w:t xml:space="preserve"> ampliar el Acuerdo General sobre el Comercio de Servicios (AGCS).</w:t>
      </w:r>
      <w:r w:rsidR="0010773B" w:rsidRPr="00473D42">
        <w:rPr>
          <w:lang w:val="es-ES"/>
        </w:rPr>
        <w:t xml:space="preserve"> Los participantes se denominan a sí mismos “los verdaderos buenos amigos de los servicios” y son los más firmes defensores de la liberalización de los </w:t>
      </w:r>
      <w:r w:rsidR="00FC1570">
        <w:rPr>
          <w:lang w:val="es-ES"/>
        </w:rPr>
        <w:t>mismos</w:t>
      </w:r>
      <w:r w:rsidR="00F74721">
        <w:rPr>
          <w:lang w:val="es-ES"/>
        </w:rPr>
        <w:t>.</w:t>
      </w:r>
    </w:p>
    <w:p w:rsidR="00B91847" w:rsidRPr="00473D42" w:rsidRDefault="0010773B" w:rsidP="00DD2894">
      <w:pPr>
        <w:jc w:val="both"/>
        <w:rPr>
          <w:lang w:val="es-ES"/>
        </w:rPr>
      </w:pPr>
      <w:r w:rsidRPr="00473D42">
        <w:rPr>
          <w:lang w:val="es-ES"/>
        </w:rPr>
        <w:t xml:space="preserve">El acuerdo tiene por objeto liberalizar aún más el comercio de servicios y </w:t>
      </w:r>
      <w:r w:rsidR="00FC1570">
        <w:rPr>
          <w:lang w:val="es-ES"/>
        </w:rPr>
        <w:t>crear</w:t>
      </w:r>
      <w:r w:rsidR="00FC1570" w:rsidRPr="00473D42">
        <w:rPr>
          <w:lang w:val="es-ES"/>
        </w:rPr>
        <w:t xml:space="preserve"> </w:t>
      </w:r>
      <w:r w:rsidR="00F74721">
        <w:rPr>
          <w:lang w:val="es-ES"/>
        </w:rPr>
        <w:t xml:space="preserve">unas </w:t>
      </w:r>
      <w:r w:rsidRPr="00473D42">
        <w:rPr>
          <w:lang w:val="es-ES"/>
        </w:rPr>
        <w:t xml:space="preserve">normas jurídicamente vinculantes en ámbitos tales como la concesión de licencias, </w:t>
      </w:r>
      <w:r w:rsidR="00B91847" w:rsidRPr="00473D42">
        <w:rPr>
          <w:lang w:val="es-ES"/>
        </w:rPr>
        <w:t xml:space="preserve">los </w:t>
      </w:r>
      <w:r w:rsidRPr="00473D42">
        <w:rPr>
          <w:lang w:val="es-ES"/>
        </w:rPr>
        <w:t xml:space="preserve">servicios financieros, </w:t>
      </w:r>
      <w:r w:rsidR="00B91847" w:rsidRPr="00473D42">
        <w:rPr>
          <w:lang w:val="es-ES"/>
        </w:rPr>
        <w:t xml:space="preserve">las </w:t>
      </w:r>
      <w:r w:rsidRPr="00473D42">
        <w:rPr>
          <w:lang w:val="es-ES"/>
        </w:rPr>
        <w:t xml:space="preserve">telecomunicaciones, </w:t>
      </w:r>
      <w:r w:rsidR="00B91847" w:rsidRPr="00473D42">
        <w:rPr>
          <w:lang w:val="es-ES"/>
        </w:rPr>
        <w:t xml:space="preserve">el </w:t>
      </w:r>
      <w:r w:rsidRPr="00473D42">
        <w:rPr>
          <w:lang w:val="es-ES"/>
        </w:rPr>
        <w:t xml:space="preserve">comercio electrónico, </w:t>
      </w:r>
      <w:r w:rsidR="00B91847" w:rsidRPr="00473D42">
        <w:rPr>
          <w:lang w:val="es-ES"/>
        </w:rPr>
        <w:t xml:space="preserve">el </w:t>
      </w:r>
      <w:r w:rsidRPr="00473D42">
        <w:rPr>
          <w:lang w:val="es-ES"/>
        </w:rPr>
        <w:t xml:space="preserve">transporte marítimo y </w:t>
      </w:r>
      <w:r w:rsidR="00B91847" w:rsidRPr="00473D42">
        <w:rPr>
          <w:lang w:val="es-ES"/>
        </w:rPr>
        <w:t xml:space="preserve">los </w:t>
      </w:r>
      <w:r w:rsidRPr="00473D42">
        <w:rPr>
          <w:lang w:val="es-ES"/>
        </w:rPr>
        <w:t xml:space="preserve">servicios profesionales, </w:t>
      </w:r>
      <w:r w:rsidR="00B91847" w:rsidRPr="00473D42">
        <w:rPr>
          <w:lang w:val="es-ES"/>
        </w:rPr>
        <w:t xml:space="preserve">que permitan que </w:t>
      </w:r>
      <w:r w:rsidRPr="00473D42">
        <w:rPr>
          <w:lang w:val="es-ES"/>
        </w:rPr>
        <w:t>los invers</w:t>
      </w:r>
      <w:r w:rsidR="00F74721">
        <w:rPr>
          <w:lang w:val="es-ES"/>
        </w:rPr>
        <w:t>ores</w:t>
      </w:r>
      <w:r w:rsidRPr="00473D42">
        <w:rPr>
          <w:lang w:val="es-ES"/>
        </w:rPr>
        <w:t xml:space="preserve"> y las empresas </w:t>
      </w:r>
      <w:r w:rsidR="00B91847" w:rsidRPr="00473D42">
        <w:rPr>
          <w:lang w:val="es-ES"/>
        </w:rPr>
        <w:t xml:space="preserve">extranjeros puedan </w:t>
      </w:r>
      <w:r w:rsidRPr="00473D42">
        <w:rPr>
          <w:lang w:val="es-ES"/>
        </w:rPr>
        <w:t xml:space="preserve">acceder libremente a los mercados </w:t>
      </w:r>
      <w:r w:rsidR="00FC1570">
        <w:rPr>
          <w:lang w:val="es-ES"/>
        </w:rPr>
        <w:t>de los firmantes</w:t>
      </w:r>
      <w:r w:rsidRPr="00473D42">
        <w:rPr>
          <w:lang w:val="es-ES"/>
        </w:rPr>
        <w:t xml:space="preserve"> </w:t>
      </w:r>
      <w:r w:rsidR="00B91847" w:rsidRPr="00473D42">
        <w:rPr>
          <w:lang w:val="es-ES"/>
        </w:rPr>
        <w:t>del T</w:t>
      </w:r>
      <w:r w:rsidR="00197A85" w:rsidRPr="00473D42">
        <w:rPr>
          <w:lang w:val="es-ES"/>
        </w:rPr>
        <w:t>I</w:t>
      </w:r>
      <w:r w:rsidR="00B91847" w:rsidRPr="00473D42">
        <w:rPr>
          <w:lang w:val="es-ES"/>
        </w:rPr>
        <w:t xml:space="preserve">SA </w:t>
      </w:r>
      <w:r w:rsidRPr="00473D42">
        <w:rPr>
          <w:lang w:val="es-ES"/>
        </w:rPr>
        <w:t xml:space="preserve">y </w:t>
      </w:r>
      <w:r w:rsidR="00B91847" w:rsidRPr="00473D42">
        <w:rPr>
          <w:lang w:val="es-ES"/>
        </w:rPr>
        <w:t>garanticen que los gobiernos no hagan distinciones</w:t>
      </w:r>
      <w:r w:rsidRPr="00473D42">
        <w:rPr>
          <w:lang w:val="es-ES"/>
        </w:rPr>
        <w:t xml:space="preserve"> entre </w:t>
      </w:r>
      <w:r w:rsidR="00B91847" w:rsidRPr="00473D42">
        <w:rPr>
          <w:lang w:val="es-ES"/>
        </w:rPr>
        <w:t xml:space="preserve">proveedores de servicios públicos y privados. </w:t>
      </w:r>
    </w:p>
    <w:p w:rsidR="00B91847" w:rsidRPr="00473D42" w:rsidRDefault="00B91847" w:rsidP="00DD2894">
      <w:pPr>
        <w:jc w:val="both"/>
        <w:rPr>
          <w:lang w:val="es-ES"/>
        </w:rPr>
      </w:pPr>
      <w:r w:rsidRPr="00473D42">
        <w:rPr>
          <w:lang w:val="es-ES"/>
        </w:rPr>
        <w:t>Las negociaciones se realizan en secreto</w:t>
      </w:r>
      <w:r w:rsidR="00FC1570">
        <w:rPr>
          <w:lang w:val="es-ES"/>
        </w:rPr>
        <w:t xml:space="preserve">, por lo que </w:t>
      </w:r>
      <w:r w:rsidRPr="00473D42">
        <w:rPr>
          <w:lang w:val="es-ES"/>
        </w:rPr>
        <w:t>se dispone</w:t>
      </w:r>
      <w:r w:rsidR="00153420" w:rsidRPr="00473D42">
        <w:rPr>
          <w:lang w:val="es-ES"/>
        </w:rPr>
        <w:t xml:space="preserve"> de</w:t>
      </w:r>
      <w:r w:rsidRPr="00473D42">
        <w:rPr>
          <w:lang w:val="es-ES"/>
        </w:rPr>
        <w:t xml:space="preserve"> información limitada sobre el </w:t>
      </w:r>
      <w:r w:rsidR="00FC1570">
        <w:rPr>
          <w:lang w:val="es-ES"/>
        </w:rPr>
        <w:t>acuerdo</w:t>
      </w:r>
      <w:r w:rsidR="00FC1570" w:rsidRPr="00473D42">
        <w:rPr>
          <w:lang w:val="es-ES"/>
        </w:rPr>
        <w:t xml:space="preserve"> </w:t>
      </w:r>
      <w:r w:rsidRPr="00473D42">
        <w:rPr>
          <w:lang w:val="es-ES"/>
        </w:rPr>
        <w:t xml:space="preserve">propuesto. </w:t>
      </w:r>
      <w:r w:rsidR="00153420" w:rsidRPr="00473D42">
        <w:rPr>
          <w:lang w:val="es-ES"/>
        </w:rPr>
        <w:t>No obstante</w:t>
      </w:r>
      <w:r w:rsidR="00153420" w:rsidRPr="00F74721">
        <w:rPr>
          <w:lang w:val="es-ES"/>
        </w:rPr>
        <w:t>, a raíz de diversas filtraciones relativas al T</w:t>
      </w:r>
      <w:r w:rsidR="00197A85" w:rsidRPr="00F74721">
        <w:rPr>
          <w:lang w:val="es-ES"/>
        </w:rPr>
        <w:t>I</w:t>
      </w:r>
      <w:r w:rsidR="00153420" w:rsidRPr="00F74721">
        <w:rPr>
          <w:lang w:val="es-ES"/>
        </w:rPr>
        <w:t>SA, algunas de las partes han publicado sus ofertas de servicios</w:t>
      </w:r>
      <w:r w:rsidR="00CE48B4" w:rsidRPr="00F74721">
        <w:rPr>
          <w:rStyle w:val="FootnoteReference"/>
          <w:lang w:val="es-ES"/>
        </w:rPr>
        <w:footnoteReference w:id="1"/>
      </w:r>
      <w:r w:rsidR="00CE48B4" w:rsidRPr="00F74721">
        <w:rPr>
          <w:lang w:val="es-ES"/>
        </w:rPr>
        <w:t xml:space="preserve"> </w:t>
      </w:r>
      <w:r w:rsidR="00153420" w:rsidRPr="00F74721">
        <w:rPr>
          <w:lang w:val="es-ES"/>
        </w:rPr>
        <w:t xml:space="preserve">y la Comisión Europea ha creado una </w:t>
      </w:r>
      <w:hyperlink r:id="rId7" w:history="1">
        <w:r w:rsidR="00153420" w:rsidRPr="00F74721">
          <w:rPr>
            <w:rStyle w:val="Hyperlink"/>
            <w:lang w:val="es-ES"/>
          </w:rPr>
          <w:t>página web dedicada al T</w:t>
        </w:r>
        <w:r w:rsidR="00197A85" w:rsidRPr="00F74721">
          <w:rPr>
            <w:rStyle w:val="Hyperlink"/>
            <w:lang w:val="es-ES"/>
          </w:rPr>
          <w:t>I</w:t>
        </w:r>
        <w:r w:rsidR="00153420" w:rsidRPr="00F74721">
          <w:rPr>
            <w:rStyle w:val="Hyperlink"/>
            <w:lang w:val="es-ES"/>
          </w:rPr>
          <w:t>SA</w:t>
        </w:r>
      </w:hyperlink>
      <w:r w:rsidR="00197A85" w:rsidRPr="00F74721">
        <w:rPr>
          <w:lang w:val="es-ES"/>
        </w:rPr>
        <w:t>. A pesar de ello</w:t>
      </w:r>
      <w:r w:rsidR="00FC1570">
        <w:rPr>
          <w:lang w:val="es-ES"/>
        </w:rPr>
        <w:t xml:space="preserve"> </w:t>
      </w:r>
      <w:r w:rsidR="00153420" w:rsidRPr="00F74721">
        <w:rPr>
          <w:lang w:val="es-ES"/>
        </w:rPr>
        <w:t>sigue siendo uno</w:t>
      </w:r>
      <w:r w:rsidR="00153420" w:rsidRPr="00473D42">
        <w:rPr>
          <w:lang w:val="es-ES"/>
        </w:rPr>
        <w:t xml:space="preserve"> de los acuerdos comerciales más secretos.</w:t>
      </w:r>
    </w:p>
    <w:p w:rsidR="00CE48B4" w:rsidRPr="00473D42" w:rsidRDefault="00CE48B4" w:rsidP="00E07F8E">
      <w:pPr>
        <w:jc w:val="both"/>
        <w:rPr>
          <w:b/>
          <w:lang w:val="es-ES"/>
        </w:rPr>
      </w:pPr>
      <w:r w:rsidRPr="00473D42">
        <w:rPr>
          <w:b/>
          <w:lang w:val="es-ES"/>
        </w:rPr>
        <w:t>¿Qué países están implicados?</w:t>
      </w:r>
    </w:p>
    <w:p w:rsidR="00B87750" w:rsidRPr="00473D42" w:rsidRDefault="00B87750" w:rsidP="00E07F8E">
      <w:pPr>
        <w:jc w:val="both"/>
        <w:rPr>
          <w:lang w:val="es-ES"/>
        </w:rPr>
      </w:pPr>
      <w:r w:rsidRPr="00473D42">
        <w:rPr>
          <w:lang w:val="es-ES"/>
        </w:rPr>
        <w:t xml:space="preserve">Desde marzo de 2016, los países participantes en </w:t>
      </w:r>
      <w:r w:rsidR="00197A85" w:rsidRPr="00473D42">
        <w:rPr>
          <w:lang w:val="es-ES"/>
        </w:rPr>
        <w:t>las negociaciones del TI</w:t>
      </w:r>
      <w:r w:rsidRPr="00473D42">
        <w:rPr>
          <w:lang w:val="es-ES"/>
        </w:rPr>
        <w:t>SA son Australia, Canadá, Chile, Chin</w:t>
      </w:r>
      <w:r w:rsidR="00AD41B9" w:rsidRPr="00473D42">
        <w:rPr>
          <w:lang w:val="es-ES"/>
        </w:rPr>
        <w:t>a</w:t>
      </w:r>
      <w:r w:rsidRPr="00473D42">
        <w:rPr>
          <w:lang w:val="es-ES"/>
        </w:rPr>
        <w:t xml:space="preserve"> </w:t>
      </w:r>
      <w:r w:rsidR="00AD41B9" w:rsidRPr="00473D42">
        <w:rPr>
          <w:lang w:val="es-ES"/>
        </w:rPr>
        <w:t>Taipéi</w:t>
      </w:r>
      <w:r w:rsidRPr="00473D42">
        <w:rPr>
          <w:lang w:val="es-ES"/>
        </w:rPr>
        <w:t xml:space="preserve"> (Taiwán), Colombia, Costa Rica, la Unión Europea, Hong Kong, I</w:t>
      </w:r>
      <w:r w:rsidR="00AD41B9" w:rsidRPr="00473D42">
        <w:rPr>
          <w:lang w:val="es-ES"/>
        </w:rPr>
        <w:t>slandia</w:t>
      </w:r>
      <w:r w:rsidRPr="00473D42">
        <w:rPr>
          <w:lang w:val="es-ES"/>
        </w:rPr>
        <w:t>, Israel, Japó</w:t>
      </w:r>
      <w:r w:rsidR="00AD41B9" w:rsidRPr="00473D42">
        <w:rPr>
          <w:lang w:val="es-ES"/>
        </w:rPr>
        <w:t>n, C</w:t>
      </w:r>
      <w:r w:rsidRPr="00473D42">
        <w:rPr>
          <w:lang w:val="es-ES"/>
        </w:rPr>
        <w:t>orea, Liechtenstein, Mauri</w:t>
      </w:r>
      <w:r w:rsidR="00AD41B9" w:rsidRPr="00473D42">
        <w:rPr>
          <w:lang w:val="es-ES"/>
        </w:rPr>
        <w:t>cio</w:t>
      </w:r>
      <w:r w:rsidRPr="00473D42">
        <w:rPr>
          <w:lang w:val="es-ES"/>
        </w:rPr>
        <w:t xml:space="preserve">, </w:t>
      </w:r>
      <w:r w:rsidR="006F002D" w:rsidRPr="00473D42">
        <w:rPr>
          <w:lang w:val="es-ES"/>
        </w:rPr>
        <w:t>México</w:t>
      </w:r>
      <w:r w:rsidRPr="00473D42">
        <w:rPr>
          <w:lang w:val="es-ES"/>
        </w:rPr>
        <w:t>, N</w:t>
      </w:r>
      <w:r w:rsidR="006F002D" w:rsidRPr="00473D42">
        <w:rPr>
          <w:lang w:val="es-ES"/>
        </w:rPr>
        <w:t>ueva</w:t>
      </w:r>
      <w:r w:rsidRPr="00473D42">
        <w:rPr>
          <w:lang w:val="es-ES"/>
        </w:rPr>
        <w:t xml:space="preserve"> Ze</w:t>
      </w:r>
      <w:r w:rsidR="006F002D" w:rsidRPr="00473D42">
        <w:rPr>
          <w:lang w:val="es-ES"/>
        </w:rPr>
        <w:t>landa</w:t>
      </w:r>
      <w:r w:rsidRPr="00473D42">
        <w:rPr>
          <w:lang w:val="es-ES"/>
        </w:rPr>
        <w:t>, Nor</w:t>
      </w:r>
      <w:r w:rsidR="006F002D" w:rsidRPr="00473D42">
        <w:rPr>
          <w:lang w:val="es-ES"/>
        </w:rPr>
        <w:t>uega</w:t>
      </w:r>
      <w:r w:rsidRPr="00473D42">
        <w:rPr>
          <w:lang w:val="es-ES"/>
        </w:rPr>
        <w:t xml:space="preserve">, </w:t>
      </w:r>
      <w:r w:rsidR="00AD41B9" w:rsidRPr="00473D42">
        <w:rPr>
          <w:lang w:val="es-ES"/>
        </w:rPr>
        <w:t>Pakistán</w:t>
      </w:r>
      <w:r w:rsidRPr="00473D42">
        <w:rPr>
          <w:lang w:val="es-ES"/>
        </w:rPr>
        <w:t xml:space="preserve">, </w:t>
      </w:r>
      <w:r w:rsidR="006F002D" w:rsidRPr="00473D42">
        <w:rPr>
          <w:lang w:val="es-ES"/>
        </w:rPr>
        <w:t>Panamá</w:t>
      </w:r>
      <w:r w:rsidRPr="00473D42">
        <w:rPr>
          <w:lang w:val="es-ES"/>
        </w:rPr>
        <w:t xml:space="preserve">, </w:t>
      </w:r>
      <w:r w:rsidR="006F002D" w:rsidRPr="00473D42">
        <w:rPr>
          <w:lang w:val="es-ES"/>
        </w:rPr>
        <w:t>Perú</w:t>
      </w:r>
      <w:r w:rsidRPr="00473D42">
        <w:rPr>
          <w:lang w:val="es-ES"/>
        </w:rPr>
        <w:t>, S</w:t>
      </w:r>
      <w:r w:rsidR="006F002D" w:rsidRPr="00473D42">
        <w:rPr>
          <w:lang w:val="es-ES"/>
        </w:rPr>
        <w:t>uiza</w:t>
      </w:r>
      <w:r w:rsidRPr="00473D42">
        <w:rPr>
          <w:lang w:val="es-ES"/>
        </w:rPr>
        <w:t>, Tur</w:t>
      </w:r>
      <w:r w:rsidR="006F002D" w:rsidRPr="00473D42">
        <w:rPr>
          <w:lang w:val="es-ES"/>
        </w:rPr>
        <w:t>quía y Estados Unidos</w:t>
      </w:r>
      <w:r w:rsidRPr="00473D42">
        <w:rPr>
          <w:lang w:val="es-ES"/>
        </w:rPr>
        <w:t>.</w:t>
      </w:r>
      <w:r w:rsidR="00AD41B9" w:rsidRPr="00473D42">
        <w:rPr>
          <w:lang w:val="es-ES"/>
        </w:rPr>
        <w:t xml:space="preserve"> China ha manifestado su interés </w:t>
      </w:r>
      <w:r w:rsidR="00A901EA">
        <w:rPr>
          <w:lang w:val="es-ES"/>
        </w:rPr>
        <w:t>por</w:t>
      </w:r>
      <w:r w:rsidR="00AD41B9" w:rsidRPr="00473D42">
        <w:rPr>
          <w:lang w:val="es-ES"/>
        </w:rPr>
        <w:t xml:space="preserve"> adherirse a las negociaciones, pero </w:t>
      </w:r>
      <w:r w:rsidR="00B80F7A">
        <w:rPr>
          <w:lang w:val="es-ES"/>
        </w:rPr>
        <w:t>por ahora</w:t>
      </w:r>
      <w:r w:rsidR="00AD41B9" w:rsidRPr="00473D42">
        <w:rPr>
          <w:lang w:val="es-ES"/>
        </w:rPr>
        <w:t xml:space="preserve"> no se ha incorporado. Uruguay y Paraguay se retiraron de las negociaciones en 2015. En el caso de Uruguay fue </w:t>
      </w:r>
      <w:r w:rsidR="007670E6" w:rsidRPr="00473D42">
        <w:rPr>
          <w:lang w:val="es-ES"/>
        </w:rPr>
        <w:t>a causa de</w:t>
      </w:r>
      <w:r w:rsidR="00AD41B9" w:rsidRPr="00473D42">
        <w:rPr>
          <w:lang w:val="es-ES"/>
        </w:rPr>
        <w:t xml:space="preserve"> la oposición pública a las posibles graves consecuencias de</w:t>
      </w:r>
      <w:r w:rsidR="007670E6" w:rsidRPr="00473D42">
        <w:rPr>
          <w:lang w:val="es-ES"/>
        </w:rPr>
        <w:t>l</w:t>
      </w:r>
      <w:r w:rsidR="00AD41B9" w:rsidRPr="00473D42">
        <w:rPr>
          <w:lang w:val="es-ES"/>
        </w:rPr>
        <w:t xml:space="preserve"> </w:t>
      </w:r>
      <w:r w:rsidR="00197A85" w:rsidRPr="00473D42">
        <w:rPr>
          <w:lang w:val="es-ES"/>
        </w:rPr>
        <w:t>TISA</w:t>
      </w:r>
      <w:r w:rsidR="00AD41B9" w:rsidRPr="00473D42">
        <w:rPr>
          <w:lang w:val="es-ES"/>
        </w:rPr>
        <w:t>.</w:t>
      </w:r>
    </w:p>
    <w:p w:rsidR="007670E6" w:rsidRPr="00473D42" w:rsidRDefault="007670E6" w:rsidP="00E07F8E">
      <w:pPr>
        <w:jc w:val="both"/>
        <w:rPr>
          <w:b/>
          <w:lang w:val="es-ES"/>
        </w:rPr>
      </w:pPr>
      <w:r w:rsidRPr="00473D42">
        <w:rPr>
          <w:b/>
          <w:lang w:val="es-ES"/>
        </w:rPr>
        <w:t>¿Cuál es el estado de las negociaciones?</w:t>
      </w:r>
    </w:p>
    <w:p w:rsidR="00670856" w:rsidRPr="00473D42" w:rsidRDefault="00E6278E" w:rsidP="008E577A">
      <w:pPr>
        <w:jc w:val="both"/>
        <w:rPr>
          <w:lang w:val="es-ES"/>
        </w:rPr>
      </w:pPr>
      <w:r w:rsidRPr="00473D42">
        <w:rPr>
          <w:lang w:val="es-ES"/>
        </w:rPr>
        <w:t>Las</w:t>
      </w:r>
      <w:r w:rsidR="000B0164" w:rsidRPr="00473D42">
        <w:rPr>
          <w:lang w:val="es-ES"/>
        </w:rPr>
        <w:t xml:space="preserve"> negociaciones sobre el </w:t>
      </w:r>
      <w:r w:rsidR="00197A85" w:rsidRPr="00473D42">
        <w:rPr>
          <w:lang w:val="es-ES"/>
        </w:rPr>
        <w:t>TISA</w:t>
      </w:r>
      <w:r w:rsidR="000B0164" w:rsidRPr="00473D42">
        <w:rPr>
          <w:lang w:val="es-ES"/>
        </w:rPr>
        <w:t xml:space="preserve"> se iniciaron formalmente en marzo de 2013. A finales de 2013, la mayoría de los participantes había indicado cuáles eran </w:t>
      </w:r>
      <w:r w:rsidR="007F5C74" w:rsidRPr="00473D42">
        <w:rPr>
          <w:lang w:val="es-ES"/>
        </w:rPr>
        <w:t>los</w:t>
      </w:r>
      <w:r w:rsidR="000B0164" w:rsidRPr="00473D42">
        <w:rPr>
          <w:lang w:val="es-ES"/>
        </w:rPr>
        <w:t xml:space="preserve"> mercados de servicios que estaban dispuestos a abrir y </w:t>
      </w:r>
      <w:r w:rsidR="00176654">
        <w:rPr>
          <w:lang w:val="es-ES"/>
        </w:rPr>
        <w:t>en qué medida</w:t>
      </w:r>
      <w:r w:rsidR="000B0164" w:rsidRPr="00473D42">
        <w:rPr>
          <w:lang w:val="es-ES"/>
        </w:rPr>
        <w:t xml:space="preserve">. En febrero de 2016 se habían celebrado 16 rondas de negociaciones. </w:t>
      </w:r>
      <w:r w:rsidRPr="00473D42">
        <w:rPr>
          <w:lang w:val="es-ES"/>
        </w:rPr>
        <w:t>Está previsto que l</w:t>
      </w:r>
      <w:r w:rsidR="000B0164" w:rsidRPr="00473D42">
        <w:rPr>
          <w:lang w:val="es-ES"/>
        </w:rPr>
        <w:t xml:space="preserve">a 17ª </w:t>
      </w:r>
      <w:r w:rsidRPr="00473D42">
        <w:rPr>
          <w:lang w:val="es-ES"/>
        </w:rPr>
        <w:t xml:space="preserve">ronda </w:t>
      </w:r>
      <w:r w:rsidR="00176654">
        <w:rPr>
          <w:lang w:val="es-ES"/>
        </w:rPr>
        <w:t>tenga lugar</w:t>
      </w:r>
      <w:r w:rsidRPr="00473D42">
        <w:rPr>
          <w:lang w:val="es-ES"/>
        </w:rPr>
        <w:t xml:space="preserve"> la segunda semana de abril de 2016. Inicialmente, los participantes del </w:t>
      </w:r>
      <w:r w:rsidR="00197A85" w:rsidRPr="00473D42">
        <w:rPr>
          <w:lang w:val="es-ES"/>
        </w:rPr>
        <w:t>TISA</w:t>
      </w:r>
      <w:r w:rsidRPr="00473D42">
        <w:rPr>
          <w:lang w:val="es-ES"/>
        </w:rPr>
        <w:t xml:space="preserve"> </w:t>
      </w:r>
      <w:r w:rsidRPr="00473D42">
        <w:rPr>
          <w:lang w:val="es-ES"/>
        </w:rPr>
        <w:lastRenderedPageBreak/>
        <w:t xml:space="preserve">aspiraban a suscribir un acuerdo en 2014. Según los informes de </w:t>
      </w:r>
      <w:hyperlink r:id="rId8" w:history="1">
        <w:r w:rsidRPr="00473D42">
          <w:rPr>
            <w:rStyle w:val="Hyperlink"/>
            <w:lang w:val="es-ES"/>
          </w:rPr>
          <w:t>Canad</w:t>
        </w:r>
        <w:r w:rsidR="00694784" w:rsidRPr="00473D42">
          <w:rPr>
            <w:rStyle w:val="Hyperlink"/>
            <w:lang w:val="es-ES"/>
          </w:rPr>
          <w:t>á</w:t>
        </w:r>
      </w:hyperlink>
      <w:r w:rsidRPr="00473D42">
        <w:rPr>
          <w:lang w:val="es-ES"/>
        </w:rPr>
        <w:t xml:space="preserve"> </w:t>
      </w:r>
      <w:r w:rsidR="00694784" w:rsidRPr="00473D42">
        <w:rPr>
          <w:lang w:val="es-ES"/>
        </w:rPr>
        <w:t>y</w:t>
      </w:r>
      <w:r w:rsidRPr="00473D42">
        <w:rPr>
          <w:lang w:val="es-ES"/>
        </w:rPr>
        <w:t xml:space="preserve"> </w:t>
      </w:r>
      <w:r w:rsidR="00694784" w:rsidRPr="00473D42">
        <w:rPr>
          <w:lang w:val="es-ES"/>
        </w:rPr>
        <w:t>la</w:t>
      </w:r>
      <w:r w:rsidRPr="00473D42">
        <w:rPr>
          <w:lang w:val="es-ES"/>
        </w:rPr>
        <w:t xml:space="preserve"> </w:t>
      </w:r>
      <w:hyperlink r:id="rId9" w:history="1">
        <w:r w:rsidR="00694784" w:rsidRPr="00473D42">
          <w:rPr>
            <w:rStyle w:val="Hyperlink"/>
            <w:lang w:val="es-ES"/>
          </w:rPr>
          <w:t>Comisión Europea</w:t>
        </w:r>
      </w:hyperlink>
      <w:r w:rsidRPr="00473D42">
        <w:rPr>
          <w:lang w:val="es-ES"/>
        </w:rPr>
        <w:t xml:space="preserve">, </w:t>
      </w:r>
      <w:r w:rsidR="00694784" w:rsidRPr="00473D42">
        <w:rPr>
          <w:lang w:val="es-ES"/>
        </w:rPr>
        <w:t xml:space="preserve">los participantes del </w:t>
      </w:r>
      <w:r w:rsidR="00197A85" w:rsidRPr="00473D42">
        <w:rPr>
          <w:lang w:val="es-ES"/>
        </w:rPr>
        <w:t>TISA</w:t>
      </w:r>
      <w:r w:rsidR="00694784" w:rsidRPr="00473D42">
        <w:rPr>
          <w:lang w:val="es-ES"/>
        </w:rPr>
        <w:t xml:space="preserve"> acordaron un plan de trabajo revisado que tiene como objetivo llegar a un acuerdo sobre</w:t>
      </w:r>
      <w:r w:rsidR="007F5C74" w:rsidRPr="00473D42">
        <w:rPr>
          <w:lang w:val="es-ES"/>
        </w:rPr>
        <w:t xml:space="preserve"> los </w:t>
      </w:r>
      <w:r w:rsidR="00380819">
        <w:rPr>
          <w:lang w:val="es-ES"/>
        </w:rPr>
        <w:t>a</w:t>
      </w:r>
      <w:r w:rsidR="007F5C74" w:rsidRPr="00473D42">
        <w:rPr>
          <w:lang w:val="es-ES"/>
        </w:rPr>
        <w:t>nexos clave en julio de 2016 y a un acuerdo sobre los textos restantes en septiembre de 2016. Por otra parte, está previsto que las ofertas de servicios sean objeto de dos revisiones en mayo y octubre de 2016.</w:t>
      </w:r>
    </w:p>
    <w:p w:rsidR="008B0ADF" w:rsidRPr="00473D42" w:rsidRDefault="008B0ADF" w:rsidP="00E07F8E">
      <w:pPr>
        <w:jc w:val="both"/>
        <w:rPr>
          <w:b/>
          <w:lang w:val="es-ES"/>
        </w:rPr>
      </w:pPr>
      <w:r w:rsidRPr="00473D42">
        <w:rPr>
          <w:b/>
          <w:lang w:val="es-ES"/>
        </w:rPr>
        <w:t>¿Qué servicios estarían cubiertos por el TISA?</w:t>
      </w:r>
    </w:p>
    <w:p w:rsidR="008B0ADF" w:rsidRPr="00473D42" w:rsidRDefault="008B0ADF" w:rsidP="00E07F8E">
      <w:pPr>
        <w:jc w:val="both"/>
        <w:rPr>
          <w:lang w:val="es-ES"/>
        </w:rPr>
      </w:pPr>
      <w:r w:rsidRPr="00473D42">
        <w:rPr>
          <w:lang w:val="es-ES"/>
        </w:rPr>
        <w:t xml:space="preserve">El TISA pretende ser un acuerdo amplio y exhaustivo que </w:t>
      </w:r>
      <w:r w:rsidR="00380819">
        <w:rPr>
          <w:lang w:val="es-ES"/>
        </w:rPr>
        <w:t xml:space="preserve">en principio </w:t>
      </w:r>
      <w:r w:rsidRPr="00473D42">
        <w:rPr>
          <w:lang w:val="es-ES"/>
        </w:rPr>
        <w:t>no excluy</w:t>
      </w:r>
      <w:r w:rsidR="00380819">
        <w:rPr>
          <w:lang w:val="es-ES"/>
        </w:rPr>
        <w:t>e</w:t>
      </w:r>
      <w:r w:rsidRPr="00473D42">
        <w:rPr>
          <w:lang w:val="es-ES"/>
        </w:rPr>
        <w:t xml:space="preserve"> a ningún sector de servicios. Por lo tanto, </w:t>
      </w:r>
      <w:r w:rsidR="00BB38C3" w:rsidRPr="00473D42">
        <w:rPr>
          <w:lang w:val="es-ES"/>
        </w:rPr>
        <w:t xml:space="preserve">abarcaría potencialmente </w:t>
      </w:r>
      <w:r w:rsidRPr="00473D42">
        <w:rPr>
          <w:lang w:val="es-ES"/>
        </w:rPr>
        <w:t>todos los sectores de servicios, entre ellos los servicios públicos como la educación y la asistencia sanitaria.</w:t>
      </w:r>
    </w:p>
    <w:p w:rsidR="00BB38C3" w:rsidRPr="00473D42" w:rsidRDefault="00473D42" w:rsidP="00E07F8E">
      <w:pPr>
        <w:jc w:val="both"/>
        <w:rPr>
          <w:b/>
          <w:lang w:val="es-ES"/>
        </w:rPr>
      </w:pPr>
      <w:r w:rsidRPr="00473D42">
        <w:rPr>
          <w:b/>
          <w:lang w:val="es-ES"/>
        </w:rPr>
        <w:t>¿</w:t>
      </w:r>
      <w:r w:rsidR="00AF38E9">
        <w:rPr>
          <w:b/>
          <w:lang w:val="es-ES"/>
        </w:rPr>
        <w:t>Estará la educación incluida</w:t>
      </w:r>
      <w:r w:rsidR="00BB38C3" w:rsidRPr="00473D42">
        <w:rPr>
          <w:b/>
          <w:lang w:val="es-ES"/>
        </w:rPr>
        <w:t xml:space="preserve"> en el TISA?</w:t>
      </w:r>
    </w:p>
    <w:p w:rsidR="00BB38C3" w:rsidRPr="00473D42" w:rsidRDefault="00BB38C3" w:rsidP="00E07F8E">
      <w:pPr>
        <w:jc w:val="both"/>
        <w:rPr>
          <w:lang w:val="es-ES"/>
        </w:rPr>
      </w:pPr>
      <w:r w:rsidRPr="00473D42">
        <w:rPr>
          <w:lang w:val="es-ES"/>
        </w:rPr>
        <w:t>El amplio alcance del TISA significa que la educación podría estar incluida directa o indirectamente</w:t>
      </w:r>
      <w:r w:rsidR="00B52BD4">
        <w:rPr>
          <w:lang w:val="es-ES"/>
        </w:rPr>
        <w:t>, pero l</w:t>
      </w:r>
      <w:r w:rsidRPr="00473D42">
        <w:rPr>
          <w:lang w:val="es-ES"/>
        </w:rPr>
        <w:t xml:space="preserve">a </w:t>
      </w:r>
      <w:r w:rsidR="00AF38E9">
        <w:rPr>
          <w:lang w:val="es-ES"/>
        </w:rPr>
        <w:t>enseñanza</w:t>
      </w:r>
      <w:r w:rsidR="00AF38E9" w:rsidRPr="00473D42">
        <w:rPr>
          <w:lang w:val="es-ES"/>
        </w:rPr>
        <w:t xml:space="preserve"> </w:t>
      </w:r>
      <w:r w:rsidRPr="00473D42">
        <w:rPr>
          <w:lang w:val="es-ES"/>
        </w:rPr>
        <w:t>sigue siendo uno de los sectores menos cubiertos en el AGCS debido a las preocupaciones legítimas de que la liberalización del comercio pueda limitar la capacidad de los gobiernos de</w:t>
      </w:r>
      <w:r w:rsidR="007F1091" w:rsidRPr="00473D42">
        <w:rPr>
          <w:lang w:val="es-ES"/>
        </w:rPr>
        <w:t xml:space="preserve"> </w:t>
      </w:r>
      <w:r w:rsidRPr="00473D42">
        <w:rPr>
          <w:lang w:val="es-ES"/>
        </w:rPr>
        <w:t xml:space="preserve">reglamentar </w:t>
      </w:r>
      <w:r w:rsidR="007F1091" w:rsidRPr="00473D42">
        <w:rPr>
          <w:lang w:val="es-ES"/>
        </w:rPr>
        <w:t xml:space="preserve">y proporcionar </w:t>
      </w:r>
      <w:r w:rsidRPr="00473D42">
        <w:rPr>
          <w:lang w:val="es-ES"/>
        </w:rPr>
        <w:t xml:space="preserve">de manera eficaz </w:t>
      </w:r>
      <w:r w:rsidR="007F1091" w:rsidRPr="00473D42">
        <w:rPr>
          <w:lang w:val="es-ES"/>
        </w:rPr>
        <w:t>una</w:t>
      </w:r>
      <w:r w:rsidRPr="00473D42">
        <w:rPr>
          <w:lang w:val="es-ES"/>
        </w:rPr>
        <w:t xml:space="preserve"> educación</w:t>
      </w:r>
      <w:r w:rsidR="007F1091" w:rsidRPr="00473D42">
        <w:rPr>
          <w:lang w:val="es-ES"/>
        </w:rPr>
        <w:t xml:space="preserve"> de calidad. Sin embargo, los grupos de presión del sector privado y varios países </w:t>
      </w:r>
      <w:r w:rsidR="00B52BD4">
        <w:rPr>
          <w:lang w:val="es-ES"/>
        </w:rPr>
        <w:t>están pujando</w:t>
      </w:r>
      <w:r w:rsidR="003071F0">
        <w:rPr>
          <w:lang w:val="es-ES"/>
        </w:rPr>
        <w:t xml:space="preserve"> por</w:t>
      </w:r>
      <w:r w:rsidR="007F1091" w:rsidRPr="00473D42">
        <w:rPr>
          <w:lang w:val="es-ES"/>
        </w:rPr>
        <w:t xml:space="preserve"> que se asuman unos compromisos mayores y más firmes.</w:t>
      </w:r>
    </w:p>
    <w:p w:rsidR="000734DB" w:rsidRPr="00473D42" w:rsidRDefault="000734DB" w:rsidP="00056F3F">
      <w:pPr>
        <w:jc w:val="both"/>
        <w:rPr>
          <w:lang w:val="es-ES"/>
        </w:rPr>
      </w:pPr>
      <w:r w:rsidRPr="00473D42">
        <w:rPr>
          <w:lang w:val="es-ES"/>
        </w:rPr>
        <w:t xml:space="preserve">La oferta de servicios de la UE incluye importantes compromisos </w:t>
      </w:r>
      <w:r w:rsidR="00406DBE" w:rsidRPr="00473D42">
        <w:rPr>
          <w:lang w:val="es-ES"/>
        </w:rPr>
        <w:t xml:space="preserve">en el ámbito de los </w:t>
      </w:r>
      <w:r w:rsidRPr="00473D42">
        <w:rPr>
          <w:lang w:val="es-ES"/>
        </w:rPr>
        <w:t>servicios</w:t>
      </w:r>
      <w:r w:rsidR="00406DBE" w:rsidRPr="00473D42">
        <w:rPr>
          <w:lang w:val="es-ES"/>
        </w:rPr>
        <w:t xml:space="preserve"> educativos de financiación privada</w:t>
      </w:r>
      <w:r w:rsidRPr="00473D42">
        <w:rPr>
          <w:lang w:val="es-ES"/>
        </w:rPr>
        <w:t xml:space="preserve">, incluso </w:t>
      </w:r>
      <w:r w:rsidR="00406DBE" w:rsidRPr="00473D42">
        <w:rPr>
          <w:lang w:val="es-ES"/>
        </w:rPr>
        <w:t>aunque estos compromisos varíen ligeramente entre los e</w:t>
      </w:r>
      <w:r w:rsidRPr="00473D42">
        <w:rPr>
          <w:lang w:val="es-ES"/>
        </w:rPr>
        <w:t>stados miembros debido a las exenciones específicas adoptadas.</w:t>
      </w:r>
      <w:r w:rsidR="00406DBE" w:rsidRPr="00473D42">
        <w:rPr>
          <w:lang w:val="es-ES"/>
        </w:rPr>
        <w:t xml:space="preserve"> </w:t>
      </w:r>
      <w:r w:rsidR="00FB0076">
        <w:rPr>
          <w:lang w:val="es-ES"/>
        </w:rPr>
        <w:t>Por lo tanto</w:t>
      </w:r>
      <w:r w:rsidRPr="00473D42">
        <w:rPr>
          <w:lang w:val="es-ES"/>
        </w:rPr>
        <w:t xml:space="preserve">, la UE y sus Estados miembros están efectivamente abriendo la puerta a proveedores de educación </w:t>
      </w:r>
      <w:r w:rsidR="00406DBE" w:rsidRPr="00473D42">
        <w:rPr>
          <w:lang w:val="es-ES"/>
        </w:rPr>
        <w:t xml:space="preserve">extranjeros </w:t>
      </w:r>
      <w:r w:rsidRPr="00473D42">
        <w:rPr>
          <w:lang w:val="es-ES"/>
        </w:rPr>
        <w:t xml:space="preserve">con </w:t>
      </w:r>
      <w:r w:rsidR="00406DBE" w:rsidRPr="00473D42">
        <w:rPr>
          <w:lang w:val="es-ES"/>
        </w:rPr>
        <w:t>ánimo de</w:t>
      </w:r>
      <w:r w:rsidRPr="00473D42">
        <w:rPr>
          <w:lang w:val="es-ES"/>
        </w:rPr>
        <w:t xml:space="preserve"> lucro.</w:t>
      </w:r>
      <w:r w:rsidR="00406DBE" w:rsidRPr="00473D42">
        <w:rPr>
          <w:lang w:val="es-ES"/>
        </w:rPr>
        <w:t xml:space="preserve"> Es preocupante que la Comisión Europea haya pedido a los Estados miembros de la UE que vuelvan a examinar </w:t>
      </w:r>
      <w:r w:rsidR="00406DBE" w:rsidRPr="00F74721">
        <w:rPr>
          <w:lang w:val="es-ES"/>
        </w:rPr>
        <w:t>y limit</w:t>
      </w:r>
      <w:r w:rsidR="00670031" w:rsidRPr="00F74721">
        <w:rPr>
          <w:lang w:val="es-ES"/>
        </w:rPr>
        <w:t>e</w:t>
      </w:r>
      <w:r w:rsidR="00F34CAB" w:rsidRPr="00F74721">
        <w:rPr>
          <w:lang w:val="es-ES"/>
        </w:rPr>
        <w:t>n</w:t>
      </w:r>
      <w:r w:rsidR="00406DBE" w:rsidRPr="00F74721">
        <w:rPr>
          <w:lang w:val="es-ES"/>
        </w:rPr>
        <w:t xml:space="preserve"> sus</w:t>
      </w:r>
      <w:r w:rsidR="00406DBE" w:rsidRPr="00473D42">
        <w:rPr>
          <w:lang w:val="es-ES"/>
        </w:rPr>
        <w:t xml:space="preserve"> reservas </w:t>
      </w:r>
      <w:r w:rsidR="00670031" w:rsidRPr="00473D42">
        <w:rPr>
          <w:lang w:val="es-ES"/>
        </w:rPr>
        <w:t>adoptadas</w:t>
      </w:r>
      <w:r w:rsidR="00406DBE" w:rsidRPr="00473D42">
        <w:rPr>
          <w:lang w:val="es-ES"/>
        </w:rPr>
        <w:t xml:space="preserve"> en </w:t>
      </w:r>
      <w:r w:rsidR="00670031" w:rsidRPr="00473D42">
        <w:rPr>
          <w:lang w:val="es-ES"/>
        </w:rPr>
        <w:t xml:space="preserve">el </w:t>
      </w:r>
      <w:r w:rsidR="00670031" w:rsidRPr="00F74721">
        <w:rPr>
          <w:lang w:val="es-ES"/>
        </w:rPr>
        <w:t>AECG</w:t>
      </w:r>
      <w:r w:rsidR="00406DBE" w:rsidRPr="00F74721">
        <w:rPr>
          <w:lang w:val="es-ES"/>
        </w:rPr>
        <w:t xml:space="preserve"> </w:t>
      </w:r>
      <w:r w:rsidR="00F74721" w:rsidRPr="00F74721">
        <w:rPr>
          <w:lang w:val="es-ES"/>
        </w:rPr>
        <w:t>de cara a</w:t>
      </w:r>
      <w:r w:rsidR="00406DBE" w:rsidRPr="00F74721">
        <w:rPr>
          <w:lang w:val="es-ES"/>
        </w:rPr>
        <w:t xml:space="preserve"> </w:t>
      </w:r>
      <w:r w:rsidR="00670031" w:rsidRPr="00F74721">
        <w:rPr>
          <w:lang w:val="es-ES"/>
        </w:rPr>
        <w:t>las</w:t>
      </w:r>
      <w:r w:rsidR="00670031" w:rsidRPr="00473D42">
        <w:rPr>
          <w:lang w:val="es-ES"/>
        </w:rPr>
        <w:t xml:space="preserve"> </w:t>
      </w:r>
      <w:r w:rsidR="00406DBE" w:rsidRPr="00473D42">
        <w:rPr>
          <w:lang w:val="es-ES"/>
        </w:rPr>
        <w:t>negociaciones</w:t>
      </w:r>
      <w:r w:rsidR="00670031" w:rsidRPr="00473D42">
        <w:rPr>
          <w:lang w:val="es-ES"/>
        </w:rPr>
        <w:t xml:space="preserve"> del TISA</w:t>
      </w:r>
      <w:r w:rsidR="00406DBE" w:rsidRPr="00473D42">
        <w:rPr>
          <w:lang w:val="es-ES"/>
        </w:rPr>
        <w:t>.</w:t>
      </w:r>
      <w:r w:rsidR="003445AE" w:rsidRPr="00473D42">
        <w:rPr>
          <w:lang w:val="es-ES"/>
        </w:rPr>
        <w:t xml:space="preserve"> Además, la limitación </w:t>
      </w:r>
      <w:r w:rsidR="009276F1" w:rsidRPr="00473D42">
        <w:rPr>
          <w:lang w:val="es-ES"/>
        </w:rPr>
        <w:t>para</w:t>
      </w:r>
      <w:r w:rsidR="003445AE" w:rsidRPr="00473D42">
        <w:rPr>
          <w:lang w:val="es-ES"/>
        </w:rPr>
        <w:t xml:space="preserve"> la educación financiada con fondos públicos es de carácter muy general </w:t>
      </w:r>
      <w:r w:rsidR="003445AE" w:rsidRPr="00FB059C">
        <w:rPr>
          <w:lang w:val="es-ES"/>
        </w:rPr>
        <w:t xml:space="preserve">y </w:t>
      </w:r>
      <w:r w:rsidR="003445AE" w:rsidRPr="00FB059C">
        <w:rPr>
          <w:i/>
          <w:u w:val="single"/>
          <w:lang w:val="es-ES"/>
        </w:rPr>
        <w:t xml:space="preserve">no </w:t>
      </w:r>
      <w:r w:rsidR="009276F1" w:rsidRPr="00FB059C">
        <w:rPr>
          <w:i/>
          <w:u w:val="single"/>
          <w:lang w:val="es-ES"/>
        </w:rPr>
        <w:t xml:space="preserve">está </w:t>
      </w:r>
      <w:r w:rsidR="003445AE" w:rsidRPr="00FB059C">
        <w:rPr>
          <w:i/>
          <w:u w:val="single"/>
          <w:lang w:val="es-ES"/>
        </w:rPr>
        <w:t>definid</w:t>
      </w:r>
      <w:r w:rsidR="009276F1" w:rsidRPr="00FB059C">
        <w:rPr>
          <w:i/>
          <w:u w:val="single"/>
          <w:lang w:val="es-ES"/>
        </w:rPr>
        <w:t>a</w:t>
      </w:r>
      <w:r w:rsidR="007B4845" w:rsidRPr="00FB059C">
        <w:rPr>
          <w:rStyle w:val="FootnoteReference"/>
          <w:lang w:val="es-ES"/>
        </w:rPr>
        <w:footnoteReference w:id="2"/>
      </w:r>
      <w:r w:rsidR="003445AE" w:rsidRPr="00FB059C">
        <w:rPr>
          <w:lang w:val="es-ES"/>
        </w:rPr>
        <w:t>.</w:t>
      </w:r>
      <w:r w:rsidR="00F34CAB" w:rsidRPr="00473D42">
        <w:rPr>
          <w:lang w:val="es-ES"/>
        </w:rPr>
        <w:t xml:space="preserve"> La CE dice que la UE ha </w:t>
      </w:r>
      <w:r w:rsidR="00FB059C">
        <w:rPr>
          <w:lang w:val="es-ES"/>
        </w:rPr>
        <w:t>mantenido</w:t>
      </w:r>
      <w:r w:rsidR="00F34CAB" w:rsidRPr="00473D42">
        <w:rPr>
          <w:lang w:val="es-ES"/>
        </w:rPr>
        <w:t xml:space="preserve"> el mismo criterio </w:t>
      </w:r>
      <w:r w:rsidR="00FB059C">
        <w:rPr>
          <w:lang w:val="es-ES"/>
        </w:rPr>
        <w:t xml:space="preserve">con respecto a </w:t>
      </w:r>
      <w:r w:rsidR="00F34CAB" w:rsidRPr="00473D42">
        <w:rPr>
          <w:lang w:val="es-ES"/>
        </w:rPr>
        <w:t xml:space="preserve">los servicios públicos desde el AGCS, aunque la limitación difiere en función de los distintos acuerdos. </w:t>
      </w:r>
      <w:r w:rsidR="007B4845" w:rsidRPr="00473D42">
        <w:rPr>
          <w:lang w:val="es-ES"/>
        </w:rPr>
        <w:t>Al contrario que en el</w:t>
      </w:r>
      <w:r w:rsidR="00F34CAB" w:rsidRPr="00473D42">
        <w:rPr>
          <w:lang w:val="es-ES"/>
        </w:rPr>
        <w:t xml:space="preserve"> texto del TISA </w:t>
      </w:r>
      <w:r w:rsidR="00F34CAB" w:rsidRPr="00473D42">
        <w:rPr>
          <w:lang w:val="es-ES"/>
        </w:rPr>
        <w:lastRenderedPageBreak/>
        <w:t xml:space="preserve">mencionado más arriba, en </w:t>
      </w:r>
      <w:r w:rsidR="007B4845" w:rsidRPr="00473D42">
        <w:rPr>
          <w:lang w:val="es-ES"/>
        </w:rPr>
        <w:t xml:space="preserve">el AECG </w:t>
      </w:r>
      <w:r w:rsidR="00F34CAB" w:rsidRPr="00473D42">
        <w:rPr>
          <w:lang w:val="es-ES"/>
        </w:rPr>
        <w:t xml:space="preserve">la definición es más </w:t>
      </w:r>
      <w:r w:rsidR="007B4845" w:rsidRPr="00FB059C">
        <w:rPr>
          <w:lang w:val="es-ES"/>
        </w:rPr>
        <w:t>amplia</w:t>
      </w:r>
      <w:r w:rsidR="007B4845" w:rsidRPr="00FB059C">
        <w:rPr>
          <w:rStyle w:val="FootnoteReference"/>
          <w:lang w:val="es-ES"/>
        </w:rPr>
        <w:footnoteReference w:id="3"/>
      </w:r>
      <w:r w:rsidR="007B4845" w:rsidRPr="00FB059C">
        <w:rPr>
          <w:lang w:val="es-ES"/>
        </w:rPr>
        <w:t>. Otro</w:t>
      </w:r>
      <w:r w:rsidR="007B4845" w:rsidRPr="00473D42">
        <w:rPr>
          <w:lang w:val="es-ES"/>
        </w:rPr>
        <w:t xml:space="preserve"> aspecto </w:t>
      </w:r>
      <w:r w:rsidR="007B4845" w:rsidRPr="00FB059C">
        <w:rPr>
          <w:lang w:val="es-ES"/>
        </w:rPr>
        <w:t xml:space="preserve">problemático afecta a la </w:t>
      </w:r>
      <w:r w:rsidR="007B4845" w:rsidRPr="00D6308F">
        <w:rPr>
          <w:i/>
          <w:u w:val="single"/>
          <w:lang w:val="es-ES"/>
        </w:rPr>
        <w:t>reserva de la UE relativa a los servicios públicos</w:t>
      </w:r>
      <w:r w:rsidR="007B4845" w:rsidRPr="00FB059C">
        <w:rPr>
          <w:lang w:val="es-ES"/>
        </w:rPr>
        <w:t>, que carece de una definición clara</w:t>
      </w:r>
      <w:r w:rsidR="007B4845" w:rsidRPr="00FB059C">
        <w:rPr>
          <w:rStyle w:val="FootnoteReference"/>
          <w:lang w:val="es-ES"/>
        </w:rPr>
        <w:footnoteReference w:id="4"/>
      </w:r>
      <w:r w:rsidR="007B4845" w:rsidRPr="00FB059C">
        <w:rPr>
          <w:lang w:val="es-ES"/>
        </w:rPr>
        <w:t>.</w:t>
      </w:r>
    </w:p>
    <w:p w:rsidR="00DD6541" w:rsidRPr="00473D42" w:rsidRDefault="00DD6541" w:rsidP="00BB5BE5">
      <w:pPr>
        <w:jc w:val="both"/>
        <w:rPr>
          <w:lang w:val="es-ES"/>
        </w:rPr>
      </w:pPr>
      <w:r w:rsidRPr="00473D42">
        <w:rPr>
          <w:lang w:val="es-ES"/>
        </w:rPr>
        <w:t>La falta de claridad de la reserva relativa a los servicios públicos pone al sector de la educación en una situación vulnerable</w:t>
      </w:r>
      <w:r w:rsidR="00941F4A">
        <w:rPr>
          <w:lang w:val="es-ES"/>
        </w:rPr>
        <w:t xml:space="preserve">, ya </w:t>
      </w:r>
      <w:r w:rsidRPr="00473D42">
        <w:rPr>
          <w:lang w:val="es-ES"/>
        </w:rPr>
        <w:t xml:space="preserve">que </w:t>
      </w:r>
      <w:r w:rsidR="00486CB9" w:rsidRPr="00473D42">
        <w:rPr>
          <w:lang w:val="es-ES"/>
        </w:rPr>
        <w:t xml:space="preserve">ésta </w:t>
      </w:r>
      <w:r w:rsidRPr="00473D42">
        <w:rPr>
          <w:lang w:val="es-ES"/>
        </w:rPr>
        <w:t xml:space="preserve">no está incluida en ninguno de los ejemplos enumerados . Además, desde la </w:t>
      </w:r>
      <w:r w:rsidR="00486CB9" w:rsidRPr="00473D42">
        <w:rPr>
          <w:lang w:val="es-ES"/>
        </w:rPr>
        <w:t xml:space="preserve">conclusión del acuerdo entre la </w:t>
      </w:r>
      <w:r w:rsidRPr="00473D42">
        <w:rPr>
          <w:lang w:val="es-ES"/>
        </w:rPr>
        <w:t>UE</w:t>
      </w:r>
      <w:r w:rsidR="00486CB9" w:rsidRPr="00473D42">
        <w:rPr>
          <w:lang w:val="es-ES"/>
        </w:rPr>
        <w:t xml:space="preserve"> y </w:t>
      </w:r>
      <w:r w:rsidRPr="00473D42">
        <w:rPr>
          <w:lang w:val="es-ES"/>
        </w:rPr>
        <w:t>Singapur</w:t>
      </w:r>
      <w:r w:rsidR="00486CB9" w:rsidRPr="00473D42">
        <w:rPr>
          <w:lang w:val="es-ES"/>
        </w:rPr>
        <w:t>,</w:t>
      </w:r>
      <w:r w:rsidRPr="00473D42">
        <w:rPr>
          <w:lang w:val="es-ES"/>
        </w:rPr>
        <w:t xml:space="preserve"> </w:t>
      </w:r>
      <w:r w:rsidRPr="00F82089">
        <w:rPr>
          <w:i/>
          <w:u w:val="single"/>
          <w:lang w:val="es-ES"/>
        </w:rPr>
        <w:t xml:space="preserve">la UE </w:t>
      </w:r>
      <w:r w:rsidRPr="00473D42">
        <w:rPr>
          <w:i/>
          <w:u w:val="single"/>
          <w:lang w:val="es-ES"/>
        </w:rPr>
        <w:t xml:space="preserve">no parece considerar la educación como un servicio </w:t>
      </w:r>
      <w:r w:rsidR="002B3FBB">
        <w:rPr>
          <w:i/>
          <w:u w:val="single"/>
          <w:lang w:val="es-ES"/>
        </w:rPr>
        <w:t>público</w:t>
      </w:r>
      <w:r w:rsidRPr="002B3FBB">
        <w:rPr>
          <w:i/>
          <w:lang w:val="es-ES"/>
        </w:rPr>
        <w:t xml:space="preserve"> </w:t>
      </w:r>
      <w:r w:rsidR="00486CB9" w:rsidRPr="00473D42">
        <w:rPr>
          <w:lang w:val="es-ES"/>
        </w:rPr>
        <w:t xml:space="preserve">dado que </w:t>
      </w:r>
      <w:r w:rsidRPr="00473D42">
        <w:rPr>
          <w:lang w:val="es-ES"/>
        </w:rPr>
        <w:t xml:space="preserve">no hay </w:t>
      </w:r>
      <w:r w:rsidR="00486CB9" w:rsidRPr="00473D42">
        <w:rPr>
          <w:lang w:val="es-ES"/>
        </w:rPr>
        <w:t>ninguna nota</w:t>
      </w:r>
      <w:r w:rsidRPr="00473D42">
        <w:rPr>
          <w:lang w:val="es-ES"/>
        </w:rPr>
        <w:t xml:space="preserve"> al pie </w:t>
      </w:r>
      <w:r w:rsidR="00486CB9" w:rsidRPr="00473D42">
        <w:rPr>
          <w:lang w:val="es-ES"/>
        </w:rPr>
        <w:t xml:space="preserve">de página que haga referencia a </w:t>
      </w:r>
      <w:r w:rsidRPr="00473D42">
        <w:rPr>
          <w:lang w:val="es-ES"/>
        </w:rPr>
        <w:t xml:space="preserve">la cláusula </w:t>
      </w:r>
      <w:r w:rsidR="00941F4A">
        <w:rPr>
          <w:lang w:val="es-ES"/>
        </w:rPr>
        <w:t>sobre</w:t>
      </w:r>
      <w:r w:rsidR="00486CB9" w:rsidRPr="00473D42">
        <w:rPr>
          <w:lang w:val="es-ES"/>
        </w:rPr>
        <w:t xml:space="preserve"> servicios </w:t>
      </w:r>
      <w:r w:rsidR="002B3FBB">
        <w:rPr>
          <w:lang w:val="es-ES"/>
        </w:rPr>
        <w:t>públicos</w:t>
      </w:r>
      <w:r w:rsidRPr="00473D42">
        <w:rPr>
          <w:lang w:val="es-ES"/>
        </w:rPr>
        <w:t xml:space="preserve"> </w:t>
      </w:r>
      <w:r w:rsidR="002B3FBB">
        <w:rPr>
          <w:lang w:val="es-ES"/>
        </w:rPr>
        <w:t>en</w:t>
      </w:r>
      <w:r w:rsidR="00941F4A">
        <w:rPr>
          <w:lang w:val="es-ES"/>
        </w:rPr>
        <w:t xml:space="preserve"> relación a</w:t>
      </w:r>
      <w:r w:rsidR="00486CB9" w:rsidRPr="00473D42">
        <w:rPr>
          <w:lang w:val="es-ES"/>
        </w:rPr>
        <w:t xml:space="preserve"> </w:t>
      </w:r>
      <w:r w:rsidRPr="00473D42">
        <w:rPr>
          <w:lang w:val="es-ES"/>
        </w:rPr>
        <w:t xml:space="preserve">los servicios </w:t>
      </w:r>
      <w:r w:rsidR="00486CB9" w:rsidRPr="00473D42">
        <w:rPr>
          <w:lang w:val="es-ES"/>
        </w:rPr>
        <w:t xml:space="preserve">educativos </w:t>
      </w:r>
      <w:r w:rsidRPr="00473D42">
        <w:rPr>
          <w:lang w:val="es-ES"/>
        </w:rPr>
        <w:t xml:space="preserve">de financiación privada, mientras </w:t>
      </w:r>
      <w:r w:rsidRPr="00397F40">
        <w:rPr>
          <w:lang w:val="es-ES"/>
        </w:rPr>
        <w:t xml:space="preserve">que </w:t>
      </w:r>
      <w:r w:rsidR="00397F40" w:rsidRPr="00397F40">
        <w:rPr>
          <w:lang w:val="es-ES"/>
        </w:rPr>
        <w:t xml:space="preserve">esta referencia </w:t>
      </w:r>
      <w:r w:rsidR="00941F4A">
        <w:rPr>
          <w:lang w:val="es-ES"/>
        </w:rPr>
        <w:t xml:space="preserve">sí </w:t>
      </w:r>
      <w:r w:rsidR="00397F40" w:rsidRPr="00397F40">
        <w:rPr>
          <w:lang w:val="es-ES"/>
        </w:rPr>
        <w:t xml:space="preserve">existe </w:t>
      </w:r>
      <w:r w:rsidR="00486CB9" w:rsidRPr="00397F40">
        <w:rPr>
          <w:lang w:val="es-ES"/>
        </w:rPr>
        <w:t xml:space="preserve">en </w:t>
      </w:r>
      <w:r w:rsidRPr="00397F40">
        <w:rPr>
          <w:lang w:val="es-ES"/>
        </w:rPr>
        <w:t>el caso de otros</w:t>
      </w:r>
      <w:r w:rsidRPr="00473D42">
        <w:rPr>
          <w:lang w:val="es-ES"/>
        </w:rPr>
        <w:t xml:space="preserve"> servicios públicos, </w:t>
      </w:r>
      <w:r w:rsidR="00B713AF">
        <w:rPr>
          <w:lang w:val="es-ES"/>
        </w:rPr>
        <w:t>entre ellos</w:t>
      </w:r>
      <w:r w:rsidRPr="00473D42">
        <w:rPr>
          <w:lang w:val="es-ES"/>
        </w:rPr>
        <w:t xml:space="preserve"> la salud y los servicios sociales.</w:t>
      </w:r>
      <w:r w:rsidR="00D73379" w:rsidRPr="00473D42">
        <w:rPr>
          <w:lang w:val="es-ES"/>
        </w:rPr>
        <w:t xml:space="preserve"> </w:t>
      </w:r>
      <w:r w:rsidRPr="00473D42">
        <w:rPr>
          <w:lang w:val="es-ES"/>
        </w:rPr>
        <w:t xml:space="preserve">Otro punto </w:t>
      </w:r>
      <w:r w:rsidR="00D73379" w:rsidRPr="00473D42">
        <w:rPr>
          <w:lang w:val="es-ES"/>
        </w:rPr>
        <w:t>se refiere</w:t>
      </w:r>
      <w:r w:rsidRPr="00473D42">
        <w:rPr>
          <w:lang w:val="es-ES"/>
        </w:rPr>
        <w:t xml:space="preserve"> a</w:t>
      </w:r>
      <w:r w:rsidR="00941F4A">
        <w:rPr>
          <w:lang w:val="es-ES"/>
        </w:rPr>
        <w:t xml:space="preserve"> la vinculación</w:t>
      </w:r>
      <w:r w:rsidRPr="002B3FBB">
        <w:rPr>
          <w:i/>
          <w:u w:val="single"/>
          <w:lang w:val="es-ES"/>
        </w:rPr>
        <w:t xml:space="preserve"> entre </w:t>
      </w:r>
      <w:r w:rsidR="00D73379" w:rsidRPr="002B3FBB">
        <w:rPr>
          <w:i/>
          <w:u w:val="single"/>
          <w:lang w:val="es-ES"/>
        </w:rPr>
        <w:t xml:space="preserve">los servicios </w:t>
      </w:r>
      <w:r w:rsidR="002B3FBB" w:rsidRPr="002B3FBB">
        <w:rPr>
          <w:i/>
          <w:u w:val="single"/>
          <w:lang w:val="es-ES"/>
        </w:rPr>
        <w:t>educativos</w:t>
      </w:r>
      <w:r w:rsidR="00D73379" w:rsidRPr="002B3FBB">
        <w:rPr>
          <w:i/>
          <w:u w:val="single"/>
          <w:lang w:val="es-ES"/>
        </w:rPr>
        <w:t xml:space="preserve"> y el comercio electrónico</w:t>
      </w:r>
      <w:r w:rsidRPr="00473D42">
        <w:rPr>
          <w:lang w:val="es-ES"/>
        </w:rPr>
        <w:t xml:space="preserve">, que se vuelve cada vez más </w:t>
      </w:r>
      <w:r w:rsidR="00941F4A">
        <w:rPr>
          <w:lang w:val="es-ES"/>
        </w:rPr>
        <w:t>significativa debido a</w:t>
      </w:r>
      <w:r w:rsidR="00941F4A" w:rsidRPr="00473D42">
        <w:rPr>
          <w:lang w:val="es-ES"/>
        </w:rPr>
        <w:t xml:space="preserve"> </w:t>
      </w:r>
      <w:r w:rsidR="00D73379" w:rsidRPr="00473D42">
        <w:rPr>
          <w:lang w:val="es-ES"/>
        </w:rPr>
        <w:t xml:space="preserve">los progresos </w:t>
      </w:r>
      <w:r w:rsidR="00941F4A">
        <w:rPr>
          <w:lang w:val="es-ES"/>
        </w:rPr>
        <w:t>en el</w:t>
      </w:r>
      <w:r w:rsidR="00D73379" w:rsidRPr="00473D42">
        <w:rPr>
          <w:lang w:val="es-ES"/>
        </w:rPr>
        <w:t xml:space="preserve"> e-aprendizaje</w:t>
      </w:r>
      <w:r w:rsidRPr="00473D42">
        <w:rPr>
          <w:lang w:val="es-ES"/>
        </w:rPr>
        <w:t xml:space="preserve"> y </w:t>
      </w:r>
      <w:r w:rsidR="00D73379" w:rsidRPr="00473D42">
        <w:rPr>
          <w:lang w:val="es-ES"/>
        </w:rPr>
        <w:t xml:space="preserve">los </w:t>
      </w:r>
      <w:r w:rsidRPr="00473D42">
        <w:rPr>
          <w:lang w:val="es-ES"/>
        </w:rPr>
        <w:t xml:space="preserve">materiales de </w:t>
      </w:r>
      <w:r w:rsidR="00D73379" w:rsidRPr="00473D42">
        <w:rPr>
          <w:lang w:val="es-ES"/>
        </w:rPr>
        <w:t>educación electrónicos.</w:t>
      </w:r>
    </w:p>
    <w:p w:rsidR="00AB4ECB" w:rsidRPr="00473D42" w:rsidRDefault="00AB4ECB" w:rsidP="00E07F8E">
      <w:pPr>
        <w:jc w:val="both"/>
        <w:rPr>
          <w:lang w:val="es-ES"/>
        </w:rPr>
      </w:pPr>
      <w:r w:rsidRPr="00473D42">
        <w:rPr>
          <w:lang w:val="es-ES"/>
        </w:rPr>
        <w:t xml:space="preserve">De manera similar, la oferta de servicios de Noruega contiene importantes compromisos </w:t>
      </w:r>
      <w:r w:rsidR="009439C5" w:rsidRPr="00473D42">
        <w:rPr>
          <w:lang w:val="es-ES"/>
        </w:rPr>
        <w:t>con respecto a los servicios de educación de</w:t>
      </w:r>
      <w:r w:rsidRPr="00473D42">
        <w:rPr>
          <w:lang w:val="es-ES"/>
        </w:rPr>
        <w:t xml:space="preserve"> financiación privada</w:t>
      </w:r>
      <w:r w:rsidR="00941F4A">
        <w:rPr>
          <w:lang w:val="es-ES"/>
        </w:rPr>
        <w:t xml:space="preserve">, haciendo que el país se abra a </w:t>
      </w:r>
      <w:r w:rsidRPr="00473D42">
        <w:rPr>
          <w:lang w:val="es-ES"/>
        </w:rPr>
        <w:t>los proveedores de educación privada.</w:t>
      </w:r>
      <w:r w:rsidR="009439C5" w:rsidRPr="00473D42">
        <w:rPr>
          <w:lang w:val="es-ES"/>
        </w:rPr>
        <w:t xml:space="preserve"> </w:t>
      </w:r>
      <w:r w:rsidRPr="00473D42">
        <w:rPr>
          <w:lang w:val="es-ES"/>
        </w:rPr>
        <w:t xml:space="preserve">La oferta incluye una limitación para la educación primaria y secundaria, que son </w:t>
      </w:r>
      <w:r w:rsidR="009439C5" w:rsidRPr="00473D42">
        <w:rPr>
          <w:lang w:val="es-ES"/>
        </w:rPr>
        <w:t>consideradas “competencias</w:t>
      </w:r>
      <w:r w:rsidRPr="00473D42">
        <w:rPr>
          <w:lang w:val="es-ES"/>
        </w:rPr>
        <w:t xml:space="preserve"> de</w:t>
      </w:r>
      <w:r w:rsidR="009439C5" w:rsidRPr="00473D42">
        <w:rPr>
          <w:lang w:val="es-ES"/>
        </w:rPr>
        <w:t>l</w:t>
      </w:r>
      <w:r w:rsidRPr="00473D42">
        <w:rPr>
          <w:lang w:val="es-ES"/>
        </w:rPr>
        <w:t xml:space="preserve"> servicio</w:t>
      </w:r>
      <w:r w:rsidR="009439C5" w:rsidRPr="00473D42">
        <w:rPr>
          <w:lang w:val="es-ES"/>
        </w:rPr>
        <w:t xml:space="preserve"> público”</w:t>
      </w:r>
      <w:r w:rsidRPr="00473D42">
        <w:rPr>
          <w:lang w:val="es-ES"/>
        </w:rPr>
        <w:t xml:space="preserve">. Sin embargo, </w:t>
      </w:r>
      <w:r w:rsidR="009439C5" w:rsidRPr="00473D42">
        <w:rPr>
          <w:lang w:val="es-ES"/>
        </w:rPr>
        <w:t>no se define lo que se entiende por “competencias del servicio público”</w:t>
      </w:r>
      <w:r w:rsidRPr="00473D42">
        <w:rPr>
          <w:lang w:val="es-ES"/>
        </w:rPr>
        <w:t>.</w:t>
      </w:r>
      <w:r w:rsidR="009439C5" w:rsidRPr="00473D42">
        <w:rPr>
          <w:lang w:val="es-ES"/>
        </w:rPr>
        <w:t xml:space="preserve"> </w:t>
      </w:r>
      <w:r w:rsidRPr="00473D42">
        <w:rPr>
          <w:lang w:val="es-ES"/>
        </w:rPr>
        <w:t>En consecuencia,</w:t>
      </w:r>
      <w:r w:rsidR="009439C5" w:rsidRPr="00473D42">
        <w:rPr>
          <w:lang w:val="es-ES"/>
        </w:rPr>
        <w:t xml:space="preserve"> la </w:t>
      </w:r>
      <w:r w:rsidR="00941F4A">
        <w:rPr>
          <w:lang w:val="es-ES"/>
        </w:rPr>
        <w:t>limitación</w:t>
      </w:r>
      <w:r w:rsidR="00941F4A" w:rsidRPr="00473D42">
        <w:rPr>
          <w:lang w:val="es-ES"/>
        </w:rPr>
        <w:t xml:space="preserve"> </w:t>
      </w:r>
      <w:r w:rsidR="009439C5" w:rsidRPr="00473D42">
        <w:rPr>
          <w:lang w:val="es-ES"/>
        </w:rPr>
        <w:t>sigue siendo ambigua</w:t>
      </w:r>
      <w:r w:rsidRPr="00473D42">
        <w:rPr>
          <w:lang w:val="es-ES"/>
        </w:rPr>
        <w:t xml:space="preserve"> y </w:t>
      </w:r>
      <w:r w:rsidR="00B713AF">
        <w:rPr>
          <w:lang w:val="es-ES"/>
        </w:rPr>
        <w:t>está</w:t>
      </w:r>
      <w:r w:rsidR="009439C5" w:rsidRPr="00473D42">
        <w:rPr>
          <w:lang w:val="es-ES"/>
        </w:rPr>
        <w:t xml:space="preserve"> abierta</w:t>
      </w:r>
      <w:r w:rsidRPr="00473D42">
        <w:rPr>
          <w:lang w:val="es-ES"/>
        </w:rPr>
        <w:t xml:space="preserve"> a interpretaciones con</w:t>
      </w:r>
      <w:r w:rsidR="009439C5" w:rsidRPr="00473D42">
        <w:rPr>
          <w:lang w:val="es-ES"/>
        </w:rPr>
        <w:t>tradictorias</w:t>
      </w:r>
      <w:r w:rsidRPr="00473D42">
        <w:rPr>
          <w:lang w:val="es-ES"/>
        </w:rPr>
        <w:t>.</w:t>
      </w:r>
      <w:r w:rsidR="009439C5" w:rsidRPr="00473D42">
        <w:rPr>
          <w:lang w:val="es-ES"/>
        </w:rPr>
        <w:t xml:space="preserve"> </w:t>
      </w:r>
      <w:r w:rsidRPr="00473D42">
        <w:rPr>
          <w:lang w:val="es-ES"/>
        </w:rPr>
        <w:t xml:space="preserve">Asimismo, la limitación está restringida a la educación primaria y secundaria y no </w:t>
      </w:r>
      <w:r w:rsidR="00A11766" w:rsidRPr="00473D42">
        <w:rPr>
          <w:lang w:val="es-ES"/>
        </w:rPr>
        <w:t xml:space="preserve">se </w:t>
      </w:r>
      <w:r w:rsidR="00941F4A">
        <w:rPr>
          <w:lang w:val="es-ES"/>
        </w:rPr>
        <w:t>procede a</w:t>
      </w:r>
      <w:r w:rsidR="00941F4A" w:rsidRPr="00473D42">
        <w:rPr>
          <w:lang w:val="es-ES"/>
        </w:rPr>
        <w:t xml:space="preserve"> </w:t>
      </w:r>
      <w:r w:rsidR="00A11766" w:rsidRPr="00473D42">
        <w:rPr>
          <w:lang w:val="es-ES"/>
        </w:rPr>
        <w:t>una</w:t>
      </w:r>
      <w:r w:rsidR="009439C5" w:rsidRPr="00473D42">
        <w:rPr>
          <w:lang w:val="es-ES"/>
        </w:rPr>
        <w:t xml:space="preserve"> </w:t>
      </w:r>
      <w:r w:rsidR="00A11766" w:rsidRPr="00473D42">
        <w:rPr>
          <w:lang w:val="es-ES"/>
        </w:rPr>
        <w:t xml:space="preserve">restricción similar </w:t>
      </w:r>
      <w:r w:rsidRPr="00473D42">
        <w:rPr>
          <w:lang w:val="es-ES"/>
        </w:rPr>
        <w:t xml:space="preserve">en el caso de la educación </w:t>
      </w:r>
      <w:r w:rsidR="00A11766" w:rsidRPr="00473D42">
        <w:rPr>
          <w:lang w:val="es-ES"/>
        </w:rPr>
        <w:t>de la primera infancia</w:t>
      </w:r>
      <w:r w:rsidRPr="00473D42">
        <w:rPr>
          <w:lang w:val="es-ES"/>
        </w:rPr>
        <w:t xml:space="preserve">, la </w:t>
      </w:r>
      <w:r w:rsidR="00B713AF">
        <w:rPr>
          <w:lang w:val="es-ES"/>
        </w:rPr>
        <w:t>enseñanza</w:t>
      </w:r>
      <w:r w:rsidRPr="00473D42">
        <w:rPr>
          <w:lang w:val="es-ES"/>
        </w:rPr>
        <w:t xml:space="preserve"> superior y la educación de adultos.</w:t>
      </w:r>
    </w:p>
    <w:p w:rsidR="00CC03E0" w:rsidRPr="00473D42" w:rsidRDefault="00CC03E0" w:rsidP="00E07F8E">
      <w:pPr>
        <w:jc w:val="both"/>
        <w:rPr>
          <w:lang w:val="es-ES"/>
        </w:rPr>
      </w:pPr>
      <w:r w:rsidRPr="00473D42">
        <w:rPr>
          <w:lang w:val="es-ES"/>
        </w:rPr>
        <w:t>En diversos documentos filtrados relacionados con las negociaciones del TISA, varios países han propuesto incluir</w:t>
      </w:r>
      <w:r w:rsidR="00941F4A" w:rsidRPr="00941F4A">
        <w:rPr>
          <w:lang w:val="es-ES"/>
        </w:rPr>
        <w:t xml:space="preserve"> </w:t>
      </w:r>
      <w:r w:rsidR="00941F4A" w:rsidRPr="00473D42">
        <w:rPr>
          <w:lang w:val="es-ES"/>
        </w:rPr>
        <w:t>en el acuerdo</w:t>
      </w:r>
      <w:r w:rsidRPr="00473D42">
        <w:rPr>
          <w:lang w:val="es-ES"/>
        </w:rPr>
        <w:t xml:space="preserve"> los servicios de educación privados. Australia, Nueva Zelanda, Colombia y Noruega </w:t>
      </w:r>
      <w:r w:rsidR="00941F4A">
        <w:rPr>
          <w:lang w:val="es-ES"/>
        </w:rPr>
        <w:t>apoyan</w:t>
      </w:r>
      <w:r w:rsidRPr="00473D42">
        <w:rPr>
          <w:lang w:val="es-ES"/>
        </w:rPr>
        <w:t xml:space="preserve"> la cobertura de la educación privada en el apartado de “servicios profesionales” </w:t>
      </w:r>
      <w:r w:rsidR="00750496" w:rsidRPr="00473D42">
        <w:rPr>
          <w:lang w:val="es-ES"/>
        </w:rPr>
        <w:t>d</w:t>
      </w:r>
      <w:r w:rsidRPr="00473D42">
        <w:rPr>
          <w:lang w:val="es-ES"/>
        </w:rPr>
        <w:t>el TISA.</w:t>
      </w:r>
      <w:r w:rsidR="00750496" w:rsidRPr="00473D42">
        <w:rPr>
          <w:lang w:val="es-ES"/>
        </w:rPr>
        <w:t xml:space="preserve"> La </w:t>
      </w:r>
      <w:r w:rsidR="00750496" w:rsidRPr="00473D42">
        <w:rPr>
          <w:lang w:val="es-ES"/>
        </w:rPr>
        <w:lastRenderedPageBreak/>
        <w:t xml:space="preserve">inclusión de la educación privada otorgaría a las empresas de educación nuevos derechos de carácter general y restringiría la capacidad de los gobiernos de </w:t>
      </w:r>
      <w:r w:rsidR="00941F4A">
        <w:rPr>
          <w:lang w:val="es-ES"/>
        </w:rPr>
        <w:t>regular</w:t>
      </w:r>
      <w:r w:rsidR="00941F4A" w:rsidRPr="00473D42">
        <w:rPr>
          <w:lang w:val="es-ES"/>
        </w:rPr>
        <w:t xml:space="preserve"> </w:t>
      </w:r>
      <w:r w:rsidR="00941F4A">
        <w:rPr>
          <w:lang w:val="es-ES"/>
        </w:rPr>
        <w:t xml:space="preserve">la actividad de </w:t>
      </w:r>
      <w:r w:rsidR="00750496" w:rsidRPr="00473D42">
        <w:rPr>
          <w:lang w:val="es-ES"/>
        </w:rPr>
        <w:t>los proveedores privados.</w:t>
      </w:r>
    </w:p>
    <w:p w:rsidR="00750496" w:rsidRPr="00473D42" w:rsidRDefault="00750496" w:rsidP="00E07F8E">
      <w:pPr>
        <w:jc w:val="both"/>
        <w:rPr>
          <w:b/>
          <w:lang w:val="es-ES"/>
        </w:rPr>
      </w:pPr>
      <w:r w:rsidRPr="00473D42">
        <w:rPr>
          <w:b/>
          <w:lang w:val="es-ES"/>
        </w:rPr>
        <w:t>¿Acaso los servicios públicos no suelen estar excluidos de los acuerdos comerciales como el TISA?</w:t>
      </w:r>
    </w:p>
    <w:p w:rsidR="00E56C8F" w:rsidRPr="00473D42" w:rsidRDefault="005C416B" w:rsidP="00E07F8E">
      <w:pPr>
        <w:jc w:val="both"/>
        <w:rPr>
          <w:lang w:val="es-ES"/>
        </w:rPr>
      </w:pPr>
      <w:r w:rsidRPr="00473D42">
        <w:rPr>
          <w:lang w:val="es-ES"/>
        </w:rPr>
        <w:t xml:space="preserve">El Acuerdo General sobre el Comercio de Servicios (AGCS) </w:t>
      </w:r>
      <w:r w:rsidR="00E56C8F" w:rsidRPr="00473D42">
        <w:rPr>
          <w:lang w:val="es-ES"/>
        </w:rPr>
        <w:t>contiene una exención ge</w:t>
      </w:r>
      <w:r w:rsidRPr="00473D42">
        <w:rPr>
          <w:lang w:val="es-ES"/>
        </w:rPr>
        <w:t>neral para los “</w:t>
      </w:r>
      <w:r w:rsidR="00E56C8F" w:rsidRPr="00473D42">
        <w:rPr>
          <w:lang w:val="es-ES"/>
        </w:rPr>
        <w:t>servicios suministrados en ejercici</w:t>
      </w:r>
      <w:r w:rsidRPr="00473D42">
        <w:rPr>
          <w:lang w:val="es-ES"/>
        </w:rPr>
        <w:t>o de facultades gubernamentales” que probablemente se mantendrá en el TISA</w:t>
      </w:r>
      <w:r w:rsidR="00E56C8F" w:rsidRPr="00473D42">
        <w:rPr>
          <w:lang w:val="es-ES"/>
        </w:rPr>
        <w:t>.</w:t>
      </w:r>
      <w:r w:rsidRPr="00473D42">
        <w:rPr>
          <w:lang w:val="es-ES"/>
        </w:rPr>
        <w:t xml:space="preserve"> Sin embargo, esta exención es extremadamente limitada y se presta a interpretaciones contradictorias, ya que estos servicios se definen como aquellos que se proporcionan sobre una base no comercial y </w:t>
      </w:r>
      <w:r w:rsidR="00B713AF">
        <w:rPr>
          <w:lang w:val="es-ES"/>
        </w:rPr>
        <w:t xml:space="preserve">que </w:t>
      </w:r>
      <w:r w:rsidRPr="00473D42">
        <w:rPr>
          <w:lang w:val="es-ES"/>
        </w:rPr>
        <w:t xml:space="preserve">no </w:t>
      </w:r>
      <w:r w:rsidR="00622591" w:rsidRPr="00473D42">
        <w:rPr>
          <w:lang w:val="es-ES"/>
        </w:rPr>
        <w:t>entran en competencia</w:t>
      </w:r>
      <w:r w:rsidRPr="00473D42">
        <w:rPr>
          <w:lang w:val="es-ES"/>
        </w:rPr>
        <w:t xml:space="preserve"> con uno o más proveedores de servicios.</w:t>
      </w:r>
      <w:r w:rsidR="00622591" w:rsidRPr="00473D42">
        <w:rPr>
          <w:lang w:val="es-ES"/>
        </w:rPr>
        <w:t xml:space="preserve"> En otras palabras, si cualquier parte del sistema educativo de un país es suministrada con carácter comercial o en base al pago de honorarios, o si existen escuelas </w:t>
      </w:r>
      <w:r w:rsidR="00622591" w:rsidRPr="00B713AF">
        <w:rPr>
          <w:lang w:val="es-ES"/>
        </w:rPr>
        <w:t>privadas en funcionamiento</w:t>
      </w:r>
      <w:r w:rsidR="00622591" w:rsidRPr="00473D42">
        <w:rPr>
          <w:lang w:val="es-ES"/>
        </w:rPr>
        <w:t>, la educación no podrá beneficiarse de esta exclusión general.</w:t>
      </w:r>
      <w:r w:rsidR="007C5FA5" w:rsidRPr="00473D42">
        <w:rPr>
          <w:lang w:val="es-ES"/>
        </w:rPr>
        <w:t xml:space="preserve"> Dado que la mayoría de los sistemas educativos en realidad contienen una </w:t>
      </w:r>
      <w:r w:rsidR="00AF761A" w:rsidRPr="00473D42">
        <w:rPr>
          <w:lang w:val="es-ES"/>
        </w:rPr>
        <w:t xml:space="preserve">combinación </w:t>
      </w:r>
      <w:r w:rsidR="007C5FA5" w:rsidRPr="00473D42">
        <w:rPr>
          <w:lang w:val="es-ES"/>
        </w:rPr>
        <w:t>de</w:t>
      </w:r>
      <w:r w:rsidR="00913983" w:rsidRPr="00473D42">
        <w:rPr>
          <w:lang w:val="es-ES"/>
        </w:rPr>
        <w:t xml:space="preserve"> oferta pública y privada, sin ánimo de lucro</w:t>
      </w:r>
      <w:r w:rsidR="007C5FA5" w:rsidRPr="00473D42">
        <w:rPr>
          <w:lang w:val="es-ES"/>
        </w:rPr>
        <w:t xml:space="preserve"> y comercial, es </w:t>
      </w:r>
      <w:r w:rsidR="00913983" w:rsidRPr="00473D42">
        <w:rPr>
          <w:lang w:val="es-ES"/>
        </w:rPr>
        <w:t>poco probable</w:t>
      </w:r>
      <w:r w:rsidR="007C5FA5" w:rsidRPr="00473D42">
        <w:rPr>
          <w:lang w:val="es-ES"/>
        </w:rPr>
        <w:t xml:space="preserve"> que el sec</w:t>
      </w:r>
      <w:r w:rsidR="00913983" w:rsidRPr="00473D42">
        <w:rPr>
          <w:lang w:val="es-ES"/>
        </w:rPr>
        <w:t>tor de</w:t>
      </w:r>
      <w:r w:rsidR="00B713AF">
        <w:rPr>
          <w:lang w:val="es-ES"/>
        </w:rPr>
        <w:t xml:space="preserve"> la</w:t>
      </w:r>
      <w:r w:rsidR="00913983" w:rsidRPr="00473D42">
        <w:rPr>
          <w:lang w:val="es-ES"/>
        </w:rPr>
        <w:t xml:space="preserve"> educación se beneficie</w:t>
      </w:r>
      <w:r w:rsidR="007C5FA5" w:rsidRPr="00473D42">
        <w:rPr>
          <w:lang w:val="es-ES"/>
        </w:rPr>
        <w:t xml:space="preserve"> de esta exclusión general.</w:t>
      </w:r>
      <w:r w:rsidR="00AF761A" w:rsidRPr="00473D42">
        <w:rPr>
          <w:lang w:val="es-ES"/>
        </w:rPr>
        <w:t xml:space="preserve"> </w:t>
      </w:r>
      <w:r w:rsidR="007C00BD" w:rsidRPr="00473D42">
        <w:rPr>
          <w:lang w:val="es-ES"/>
        </w:rPr>
        <w:t>Por otro lado</w:t>
      </w:r>
      <w:r w:rsidR="00913983" w:rsidRPr="00473D42">
        <w:rPr>
          <w:lang w:val="es-ES"/>
        </w:rPr>
        <w:t>,</w:t>
      </w:r>
      <w:r w:rsidR="007C00BD" w:rsidRPr="00473D42">
        <w:rPr>
          <w:lang w:val="es-ES"/>
        </w:rPr>
        <w:t xml:space="preserve"> el TISA</w:t>
      </w:r>
      <w:r w:rsidR="00913983" w:rsidRPr="00473D42">
        <w:rPr>
          <w:lang w:val="es-ES"/>
        </w:rPr>
        <w:t xml:space="preserve"> es </w:t>
      </w:r>
      <w:r w:rsidR="007C00BD" w:rsidRPr="00473D42">
        <w:rPr>
          <w:lang w:val="es-ES"/>
        </w:rPr>
        <w:t xml:space="preserve">un acuerdo de </w:t>
      </w:r>
      <w:r w:rsidR="00913983" w:rsidRPr="00473D42">
        <w:rPr>
          <w:lang w:val="es-ES"/>
        </w:rPr>
        <w:t xml:space="preserve">más amplio </w:t>
      </w:r>
      <w:r w:rsidR="007C00BD" w:rsidRPr="00473D42">
        <w:rPr>
          <w:lang w:val="es-ES"/>
        </w:rPr>
        <w:t xml:space="preserve">alcance </w:t>
      </w:r>
      <w:r w:rsidR="00913983" w:rsidRPr="00473D42">
        <w:rPr>
          <w:lang w:val="es-ES"/>
        </w:rPr>
        <w:t xml:space="preserve">que el AGCS, </w:t>
      </w:r>
      <w:r w:rsidR="00B713AF">
        <w:rPr>
          <w:lang w:val="es-ES"/>
        </w:rPr>
        <w:t>independientemente de que</w:t>
      </w:r>
      <w:r w:rsidR="00913983" w:rsidRPr="00473D42">
        <w:rPr>
          <w:lang w:val="es-ES"/>
        </w:rPr>
        <w:t xml:space="preserve"> </w:t>
      </w:r>
      <w:r w:rsidR="00ED6F7E" w:rsidRPr="00473D42">
        <w:rPr>
          <w:lang w:val="es-ES"/>
        </w:rPr>
        <w:t xml:space="preserve">la exención relativa a </w:t>
      </w:r>
      <w:r w:rsidR="00913983" w:rsidRPr="00473D42">
        <w:rPr>
          <w:lang w:val="es-ES"/>
        </w:rPr>
        <w:t xml:space="preserve">la autoridad gubernamental no </w:t>
      </w:r>
      <w:r w:rsidR="00B713AF">
        <w:rPr>
          <w:lang w:val="es-ES"/>
        </w:rPr>
        <w:t>esté</w:t>
      </w:r>
      <w:r w:rsidR="00ED6F7E" w:rsidRPr="00473D42">
        <w:rPr>
          <w:lang w:val="es-ES"/>
        </w:rPr>
        <w:t xml:space="preserve"> actualizada de manera similar</w:t>
      </w:r>
      <w:r w:rsidR="00B713AF">
        <w:rPr>
          <w:lang w:val="es-ES"/>
        </w:rPr>
        <w:t>,</w:t>
      </w:r>
      <w:r w:rsidR="00913983" w:rsidRPr="00473D42">
        <w:rPr>
          <w:lang w:val="es-ES"/>
        </w:rPr>
        <w:t xml:space="preserve"> y esto es muy problemático, </w:t>
      </w:r>
      <w:r w:rsidR="00ED6F7E" w:rsidRPr="00473D42">
        <w:rPr>
          <w:lang w:val="es-ES"/>
        </w:rPr>
        <w:t>puesto</w:t>
      </w:r>
      <w:r w:rsidR="00913983" w:rsidRPr="00473D42">
        <w:rPr>
          <w:lang w:val="es-ES"/>
        </w:rPr>
        <w:t xml:space="preserve"> que los servicios </w:t>
      </w:r>
      <w:r w:rsidR="00ED6F7E" w:rsidRPr="00473D42">
        <w:rPr>
          <w:lang w:val="es-ES"/>
        </w:rPr>
        <w:t>se ven</w:t>
      </w:r>
      <w:r w:rsidR="00913983" w:rsidRPr="00473D42">
        <w:rPr>
          <w:lang w:val="es-ES"/>
        </w:rPr>
        <w:t xml:space="preserve"> afectados </w:t>
      </w:r>
      <w:r w:rsidR="00ED6F7E" w:rsidRPr="00473D42">
        <w:rPr>
          <w:lang w:val="es-ES"/>
        </w:rPr>
        <w:t>de</w:t>
      </w:r>
      <w:r w:rsidR="00913983" w:rsidRPr="00473D42">
        <w:rPr>
          <w:lang w:val="es-ES"/>
        </w:rPr>
        <w:t xml:space="preserve"> </w:t>
      </w:r>
      <w:r w:rsidR="00ED6F7E" w:rsidRPr="00473D42">
        <w:rPr>
          <w:lang w:val="es-ES"/>
        </w:rPr>
        <w:t>múltiples</w:t>
      </w:r>
      <w:r w:rsidR="00913983" w:rsidRPr="00473D42">
        <w:rPr>
          <w:lang w:val="es-ES"/>
        </w:rPr>
        <w:t xml:space="preserve"> maneras interrelacionadas en los </w:t>
      </w:r>
      <w:r w:rsidR="00ED6F7E" w:rsidRPr="00473D42">
        <w:rPr>
          <w:lang w:val="es-ES"/>
        </w:rPr>
        <w:t>distintos</w:t>
      </w:r>
      <w:r w:rsidR="00913983" w:rsidRPr="00473D42">
        <w:rPr>
          <w:lang w:val="es-ES"/>
        </w:rPr>
        <w:t xml:space="preserve"> capítulos a lo largo de todo el acuerdo propuesto.</w:t>
      </w:r>
    </w:p>
    <w:p w:rsidR="00E136D1" w:rsidRPr="00473D42" w:rsidRDefault="00141208" w:rsidP="00E07F8E">
      <w:pPr>
        <w:jc w:val="both"/>
        <w:rPr>
          <w:b/>
          <w:lang w:val="es-ES"/>
        </w:rPr>
      </w:pPr>
      <w:r w:rsidRPr="00473D42">
        <w:rPr>
          <w:b/>
          <w:lang w:val="es-ES"/>
        </w:rPr>
        <w:t>¿Qué riesgos plantea el TISA para la educación</w:t>
      </w:r>
      <w:r w:rsidR="00E136D1" w:rsidRPr="00473D42">
        <w:rPr>
          <w:b/>
          <w:lang w:val="es-ES"/>
        </w:rPr>
        <w:t>?</w:t>
      </w:r>
    </w:p>
    <w:p w:rsidR="00E23B1F" w:rsidRPr="009E36D2" w:rsidRDefault="009E36D2" w:rsidP="00E07F8E">
      <w:pPr>
        <w:jc w:val="both"/>
        <w:rPr>
          <w:lang w:val="es-ES"/>
        </w:rPr>
      </w:pPr>
      <w:r w:rsidRPr="009E36D2">
        <w:rPr>
          <w:lang w:val="es-ES"/>
        </w:rPr>
        <w:t>La inclusión de</w:t>
      </w:r>
      <w:r w:rsidR="00E23B1F" w:rsidRPr="009E36D2">
        <w:rPr>
          <w:lang w:val="es-ES"/>
        </w:rPr>
        <w:t xml:space="preserve"> los servicios </w:t>
      </w:r>
      <w:r w:rsidRPr="009E36D2">
        <w:rPr>
          <w:lang w:val="es-ES"/>
        </w:rPr>
        <w:t>educativos</w:t>
      </w:r>
      <w:r w:rsidR="00E23B1F" w:rsidRPr="009E36D2">
        <w:rPr>
          <w:lang w:val="es-ES"/>
        </w:rPr>
        <w:t xml:space="preserve"> en cualquier acuerdo comercial </w:t>
      </w:r>
      <w:r w:rsidR="00914CC0" w:rsidRPr="009E36D2">
        <w:rPr>
          <w:lang w:val="es-ES"/>
        </w:rPr>
        <w:t>suscita grandes inquietudes</w:t>
      </w:r>
      <w:r w:rsidR="00E23B1F" w:rsidRPr="009E36D2">
        <w:rPr>
          <w:lang w:val="es-ES"/>
        </w:rPr>
        <w:t xml:space="preserve">. Las normas comerciales son </w:t>
      </w:r>
      <w:r w:rsidR="0045155E">
        <w:rPr>
          <w:lang w:val="es-ES"/>
        </w:rPr>
        <w:t>legalmente</w:t>
      </w:r>
      <w:r w:rsidR="0045155E" w:rsidRPr="009E36D2">
        <w:rPr>
          <w:lang w:val="es-ES"/>
        </w:rPr>
        <w:t xml:space="preserve"> </w:t>
      </w:r>
      <w:r w:rsidR="00E23B1F" w:rsidRPr="009E36D2">
        <w:rPr>
          <w:lang w:val="es-ES"/>
        </w:rPr>
        <w:t xml:space="preserve">vinculantes y pueden tener el efecto de </w:t>
      </w:r>
      <w:r w:rsidRPr="009E36D2">
        <w:rPr>
          <w:lang w:val="es-ES"/>
        </w:rPr>
        <w:t>fijar</w:t>
      </w:r>
      <w:r w:rsidR="00E23B1F" w:rsidRPr="009E36D2">
        <w:rPr>
          <w:lang w:val="es-ES"/>
        </w:rPr>
        <w:t xml:space="preserve"> </w:t>
      </w:r>
      <w:r w:rsidR="00914CC0" w:rsidRPr="009E36D2">
        <w:rPr>
          <w:lang w:val="es-ES"/>
        </w:rPr>
        <w:t>e</w:t>
      </w:r>
      <w:r w:rsidR="00E23B1F" w:rsidRPr="009E36D2">
        <w:rPr>
          <w:lang w:val="es-ES"/>
        </w:rPr>
        <w:t xml:space="preserve"> intensifica</w:t>
      </w:r>
      <w:r w:rsidR="00914CC0" w:rsidRPr="009E36D2">
        <w:rPr>
          <w:lang w:val="es-ES"/>
        </w:rPr>
        <w:t>r</w:t>
      </w:r>
      <w:r w:rsidR="00E23B1F" w:rsidRPr="009E36D2">
        <w:rPr>
          <w:lang w:val="es-ES"/>
        </w:rPr>
        <w:t xml:space="preserve"> las presiones </w:t>
      </w:r>
      <w:r w:rsidRPr="009E36D2">
        <w:rPr>
          <w:lang w:val="es-ES"/>
        </w:rPr>
        <w:t>hacia</w:t>
      </w:r>
      <w:r w:rsidR="00E23B1F" w:rsidRPr="009E36D2">
        <w:rPr>
          <w:lang w:val="es-ES"/>
        </w:rPr>
        <w:t xml:space="preserve"> la comercialización y </w:t>
      </w:r>
      <w:r w:rsidR="00914CC0" w:rsidRPr="009E36D2">
        <w:rPr>
          <w:lang w:val="es-ES"/>
        </w:rPr>
        <w:t xml:space="preserve">la </w:t>
      </w:r>
      <w:r w:rsidR="00E23B1F" w:rsidRPr="009E36D2">
        <w:rPr>
          <w:lang w:val="es-ES"/>
        </w:rPr>
        <w:t>privatización.</w:t>
      </w:r>
      <w:r w:rsidR="00D034FA" w:rsidRPr="009E36D2">
        <w:rPr>
          <w:lang w:val="es-ES"/>
        </w:rPr>
        <w:t xml:space="preserve"> </w:t>
      </w:r>
      <w:r w:rsidR="00914CC0" w:rsidRPr="009E36D2">
        <w:rPr>
          <w:lang w:val="es-ES"/>
        </w:rPr>
        <w:t xml:space="preserve">Las </w:t>
      </w:r>
      <w:r w:rsidR="00E23B1F" w:rsidRPr="009E36D2">
        <w:rPr>
          <w:lang w:val="es-ES"/>
        </w:rPr>
        <w:t xml:space="preserve">normas </w:t>
      </w:r>
      <w:r w:rsidR="00914CC0" w:rsidRPr="009E36D2">
        <w:rPr>
          <w:lang w:val="es-ES"/>
        </w:rPr>
        <w:t>relativas al</w:t>
      </w:r>
      <w:r w:rsidR="00E23B1F" w:rsidRPr="009E36D2">
        <w:rPr>
          <w:lang w:val="es-ES"/>
        </w:rPr>
        <w:t xml:space="preserve"> acceso a</w:t>
      </w:r>
      <w:r w:rsidR="00914CC0" w:rsidRPr="009E36D2">
        <w:rPr>
          <w:lang w:val="es-ES"/>
        </w:rPr>
        <w:t>l</w:t>
      </w:r>
      <w:r w:rsidR="00E23B1F" w:rsidRPr="009E36D2">
        <w:rPr>
          <w:lang w:val="es-ES"/>
        </w:rPr>
        <w:t xml:space="preserve"> mercado</w:t>
      </w:r>
      <w:r w:rsidR="00914CC0" w:rsidRPr="009E36D2">
        <w:rPr>
          <w:lang w:val="es-ES"/>
        </w:rPr>
        <w:t xml:space="preserve">, por ejemplo, </w:t>
      </w:r>
      <w:r w:rsidR="00E23B1F" w:rsidRPr="009E36D2">
        <w:rPr>
          <w:lang w:val="es-ES"/>
        </w:rPr>
        <w:t xml:space="preserve">pueden limitar la capacidad de los países </w:t>
      </w:r>
      <w:r w:rsidR="000821B2" w:rsidRPr="009E36D2">
        <w:rPr>
          <w:lang w:val="es-ES"/>
        </w:rPr>
        <w:t>que asumen</w:t>
      </w:r>
      <w:r w:rsidR="00E23B1F" w:rsidRPr="009E36D2">
        <w:rPr>
          <w:lang w:val="es-ES"/>
        </w:rPr>
        <w:t xml:space="preserve"> compromisos en </w:t>
      </w:r>
      <w:r w:rsidR="000821B2" w:rsidRPr="009E36D2">
        <w:rPr>
          <w:lang w:val="es-ES"/>
        </w:rPr>
        <w:t xml:space="preserve">materia de </w:t>
      </w:r>
      <w:r w:rsidR="00E23B1F" w:rsidRPr="009E36D2">
        <w:rPr>
          <w:lang w:val="es-ES"/>
        </w:rPr>
        <w:t xml:space="preserve">servicios </w:t>
      </w:r>
      <w:r w:rsidR="00ED3E17">
        <w:rPr>
          <w:lang w:val="es-ES"/>
        </w:rPr>
        <w:t>educativos</w:t>
      </w:r>
      <w:r w:rsidR="00E23B1F" w:rsidRPr="009E36D2">
        <w:rPr>
          <w:lang w:val="es-ES"/>
        </w:rPr>
        <w:t xml:space="preserve"> </w:t>
      </w:r>
      <w:r w:rsidR="000821B2" w:rsidRPr="009E36D2">
        <w:rPr>
          <w:lang w:val="es-ES"/>
        </w:rPr>
        <w:t xml:space="preserve">de </w:t>
      </w:r>
      <w:r w:rsidR="00E23B1F" w:rsidRPr="009E36D2">
        <w:rPr>
          <w:lang w:val="es-ES"/>
        </w:rPr>
        <w:t xml:space="preserve">restringir la entrada y reglamentar </w:t>
      </w:r>
      <w:r w:rsidR="00A901EA">
        <w:rPr>
          <w:lang w:val="es-ES"/>
        </w:rPr>
        <w:t>el funcionamiento</w:t>
      </w:r>
      <w:r w:rsidR="00E23B1F" w:rsidRPr="009E36D2">
        <w:rPr>
          <w:lang w:val="es-ES"/>
        </w:rPr>
        <w:t xml:space="preserve"> </w:t>
      </w:r>
      <w:r w:rsidR="00D034FA" w:rsidRPr="009E36D2">
        <w:rPr>
          <w:lang w:val="es-ES"/>
        </w:rPr>
        <w:t xml:space="preserve">de las escuelas e instituciones </w:t>
      </w:r>
      <w:r w:rsidR="00E23B1F" w:rsidRPr="009E36D2">
        <w:rPr>
          <w:lang w:val="es-ES"/>
        </w:rPr>
        <w:t>privadas</w:t>
      </w:r>
      <w:r w:rsidR="00D034FA" w:rsidRPr="009E36D2">
        <w:rPr>
          <w:lang w:val="es-ES"/>
        </w:rPr>
        <w:t xml:space="preserve"> y con ánimo de lucro</w:t>
      </w:r>
      <w:r w:rsidR="00E23B1F" w:rsidRPr="009E36D2">
        <w:rPr>
          <w:lang w:val="es-ES"/>
        </w:rPr>
        <w:t>.</w:t>
      </w:r>
      <w:r w:rsidR="00D034FA" w:rsidRPr="009E36D2">
        <w:rPr>
          <w:lang w:val="es-ES"/>
        </w:rPr>
        <w:t xml:space="preserve"> El </w:t>
      </w:r>
      <w:r w:rsidR="00E23B1F" w:rsidRPr="009E36D2">
        <w:rPr>
          <w:lang w:val="es-ES"/>
        </w:rPr>
        <w:t xml:space="preserve">TISA </w:t>
      </w:r>
      <w:r w:rsidR="00D034FA" w:rsidRPr="009E36D2">
        <w:rPr>
          <w:lang w:val="es-ES"/>
        </w:rPr>
        <w:t>tiene el propósito de</w:t>
      </w:r>
      <w:r w:rsidR="00E23B1F" w:rsidRPr="009E36D2">
        <w:rPr>
          <w:lang w:val="es-ES"/>
        </w:rPr>
        <w:t xml:space="preserve"> garantiza</w:t>
      </w:r>
      <w:r w:rsidR="00D034FA" w:rsidRPr="009E36D2">
        <w:rPr>
          <w:lang w:val="es-ES"/>
        </w:rPr>
        <w:t>r la “n</w:t>
      </w:r>
      <w:r w:rsidR="00E23B1F" w:rsidRPr="009E36D2">
        <w:rPr>
          <w:lang w:val="es-ES"/>
        </w:rPr>
        <w:t>eutralidad competitiva</w:t>
      </w:r>
      <w:r w:rsidR="00D034FA" w:rsidRPr="009E36D2">
        <w:rPr>
          <w:lang w:val="es-ES"/>
        </w:rPr>
        <w:t>”</w:t>
      </w:r>
      <w:r w:rsidR="00E23B1F" w:rsidRPr="009E36D2">
        <w:rPr>
          <w:lang w:val="es-ES"/>
        </w:rPr>
        <w:t xml:space="preserve"> o </w:t>
      </w:r>
      <w:r w:rsidR="00D034FA" w:rsidRPr="009E36D2">
        <w:rPr>
          <w:lang w:val="es-ES"/>
        </w:rPr>
        <w:t xml:space="preserve">unas </w:t>
      </w:r>
      <w:r w:rsidR="00E23B1F" w:rsidRPr="009E36D2">
        <w:rPr>
          <w:lang w:val="es-ES"/>
        </w:rPr>
        <w:t xml:space="preserve">condiciones de competencia equitativas entre los proveedores públicos y </w:t>
      </w:r>
      <w:r w:rsidR="00D034FA" w:rsidRPr="009E36D2">
        <w:rPr>
          <w:lang w:val="es-ES"/>
        </w:rPr>
        <w:t xml:space="preserve">los </w:t>
      </w:r>
      <w:r w:rsidR="00E23B1F" w:rsidRPr="009E36D2">
        <w:rPr>
          <w:lang w:val="es-ES"/>
        </w:rPr>
        <w:t xml:space="preserve">privados, </w:t>
      </w:r>
      <w:r w:rsidR="00D034FA" w:rsidRPr="009E36D2">
        <w:rPr>
          <w:lang w:val="es-ES"/>
        </w:rPr>
        <w:t>lo que significa que</w:t>
      </w:r>
      <w:r w:rsidR="00E23B1F" w:rsidRPr="009E36D2">
        <w:rPr>
          <w:lang w:val="es-ES"/>
        </w:rPr>
        <w:t xml:space="preserve"> los gobiernos no </w:t>
      </w:r>
      <w:r w:rsidR="00D034FA" w:rsidRPr="009E36D2">
        <w:rPr>
          <w:lang w:val="es-ES"/>
        </w:rPr>
        <w:t xml:space="preserve">podrían </w:t>
      </w:r>
      <w:r w:rsidR="0045155E">
        <w:rPr>
          <w:lang w:val="es-ES"/>
        </w:rPr>
        <w:t>dar</w:t>
      </w:r>
      <w:r w:rsidR="0045155E" w:rsidRPr="009E36D2">
        <w:rPr>
          <w:lang w:val="es-ES"/>
        </w:rPr>
        <w:t xml:space="preserve"> </w:t>
      </w:r>
      <w:r w:rsidR="00D034FA" w:rsidRPr="009E36D2">
        <w:rPr>
          <w:lang w:val="es-ES"/>
        </w:rPr>
        <w:t>un trato más favorable</w:t>
      </w:r>
      <w:r w:rsidR="00E23B1F" w:rsidRPr="009E36D2">
        <w:rPr>
          <w:lang w:val="es-ES"/>
        </w:rPr>
        <w:t xml:space="preserve"> a las escuelas públicas.</w:t>
      </w:r>
    </w:p>
    <w:p w:rsidR="00575F30" w:rsidRPr="00473D42" w:rsidRDefault="00575F30" w:rsidP="00E07F8E">
      <w:pPr>
        <w:jc w:val="both"/>
        <w:rPr>
          <w:lang w:val="es-ES"/>
        </w:rPr>
      </w:pPr>
      <w:r w:rsidRPr="00473D42">
        <w:rPr>
          <w:lang w:val="es-ES"/>
        </w:rPr>
        <w:t xml:space="preserve">Los acuerdos comerciales también pueden </w:t>
      </w:r>
      <w:r w:rsidR="000528D7">
        <w:rPr>
          <w:lang w:val="es-ES"/>
        </w:rPr>
        <w:t>mermar la</w:t>
      </w:r>
      <w:r w:rsidRPr="00473D42">
        <w:rPr>
          <w:lang w:val="es-ES"/>
        </w:rPr>
        <w:t xml:space="preserve"> capacidad de las autoridades </w:t>
      </w:r>
      <w:r w:rsidR="00A47F81" w:rsidRPr="00473D42">
        <w:rPr>
          <w:lang w:val="es-ES"/>
        </w:rPr>
        <w:t>de</w:t>
      </w:r>
      <w:r w:rsidRPr="00473D42">
        <w:rPr>
          <w:lang w:val="es-ES"/>
        </w:rPr>
        <w:t xml:space="preserve"> garantizar la calidad de la enseñanza proporcionada.</w:t>
      </w:r>
      <w:r w:rsidR="00A47F81" w:rsidRPr="00473D42">
        <w:rPr>
          <w:lang w:val="es-ES"/>
        </w:rPr>
        <w:t xml:space="preserve"> El </w:t>
      </w:r>
      <w:r w:rsidRPr="00473D42">
        <w:rPr>
          <w:lang w:val="es-ES"/>
        </w:rPr>
        <w:t xml:space="preserve">TISA, </w:t>
      </w:r>
      <w:r w:rsidR="00A47F81" w:rsidRPr="00473D42">
        <w:rPr>
          <w:lang w:val="es-ES"/>
        </w:rPr>
        <w:t xml:space="preserve">al igual que </w:t>
      </w:r>
      <w:r w:rsidRPr="00473D42">
        <w:rPr>
          <w:lang w:val="es-ES"/>
        </w:rPr>
        <w:t xml:space="preserve">el AGCS, </w:t>
      </w:r>
      <w:r w:rsidR="00A47F81" w:rsidRPr="00473D42">
        <w:rPr>
          <w:lang w:val="es-ES"/>
        </w:rPr>
        <w:t>pretende fomentar</w:t>
      </w:r>
      <w:r w:rsidRPr="00473D42">
        <w:rPr>
          <w:lang w:val="es-ES"/>
        </w:rPr>
        <w:t xml:space="preserve"> el libre comercio de servicios garantizando </w:t>
      </w:r>
      <w:r w:rsidR="005A4347" w:rsidRPr="00473D42">
        <w:rPr>
          <w:lang w:val="es-ES"/>
        </w:rPr>
        <w:t xml:space="preserve">unos </w:t>
      </w:r>
      <w:r w:rsidRPr="00473D42">
        <w:rPr>
          <w:lang w:val="es-ES"/>
        </w:rPr>
        <w:t>mercados abiertos para todos.</w:t>
      </w:r>
      <w:r w:rsidR="005A4347" w:rsidRPr="00473D42">
        <w:rPr>
          <w:lang w:val="es-ES"/>
        </w:rPr>
        <w:t xml:space="preserve"> </w:t>
      </w:r>
      <w:r w:rsidRPr="00473D42">
        <w:rPr>
          <w:lang w:val="es-ES"/>
        </w:rPr>
        <w:t xml:space="preserve">Sin embargo, </w:t>
      </w:r>
      <w:r w:rsidR="005A4347" w:rsidRPr="00473D42">
        <w:rPr>
          <w:lang w:val="es-ES"/>
        </w:rPr>
        <w:t xml:space="preserve">al </w:t>
      </w:r>
      <w:r w:rsidR="000528D7">
        <w:rPr>
          <w:lang w:val="es-ES"/>
        </w:rPr>
        <w:t>facilitar</w:t>
      </w:r>
      <w:r w:rsidR="000528D7" w:rsidRPr="00473D42">
        <w:rPr>
          <w:lang w:val="es-ES"/>
        </w:rPr>
        <w:t xml:space="preserve"> </w:t>
      </w:r>
      <w:r w:rsidR="005A4347" w:rsidRPr="00473D42">
        <w:rPr>
          <w:lang w:val="es-ES"/>
        </w:rPr>
        <w:t>un</w:t>
      </w:r>
      <w:r w:rsidRPr="00473D42">
        <w:rPr>
          <w:lang w:val="es-ES"/>
        </w:rPr>
        <w:t xml:space="preserve"> acceso al mercado </w:t>
      </w:r>
      <w:r w:rsidR="005A4347" w:rsidRPr="00473D42">
        <w:rPr>
          <w:lang w:val="es-ES"/>
        </w:rPr>
        <w:t>sin restricciones para toda</w:t>
      </w:r>
      <w:r w:rsidRPr="00473D42">
        <w:rPr>
          <w:lang w:val="es-ES"/>
        </w:rPr>
        <w:t>s las empresas</w:t>
      </w:r>
      <w:r w:rsidR="005A4347" w:rsidRPr="00473D42">
        <w:rPr>
          <w:lang w:val="es-ES"/>
        </w:rPr>
        <w:t xml:space="preserve"> de educación extranjeras</w:t>
      </w:r>
      <w:r w:rsidRPr="00473D42">
        <w:rPr>
          <w:lang w:val="es-ES"/>
        </w:rPr>
        <w:t xml:space="preserve">, los gobiernos podrían </w:t>
      </w:r>
      <w:r w:rsidR="005A4347" w:rsidRPr="00473D42">
        <w:rPr>
          <w:lang w:val="es-ES"/>
        </w:rPr>
        <w:t>abrir el paso a una avalancha de</w:t>
      </w:r>
      <w:r w:rsidRPr="00473D42">
        <w:rPr>
          <w:lang w:val="es-ES"/>
        </w:rPr>
        <w:t xml:space="preserve"> proveedores de dudosa calidad.</w:t>
      </w:r>
    </w:p>
    <w:p w:rsidR="00E136D1" w:rsidRPr="00473D42" w:rsidRDefault="005A4347" w:rsidP="00E07F8E">
      <w:pPr>
        <w:jc w:val="both"/>
        <w:rPr>
          <w:b/>
          <w:lang w:val="es-ES"/>
        </w:rPr>
      </w:pPr>
      <w:r w:rsidRPr="00473D42">
        <w:rPr>
          <w:b/>
          <w:lang w:val="es-ES"/>
        </w:rPr>
        <w:t>¿Existen otros riesgos</w:t>
      </w:r>
      <w:r w:rsidR="00B370B4" w:rsidRPr="00473D42">
        <w:rPr>
          <w:b/>
          <w:lang w:val="es-ES"/>
        </w:rPr>
        <w:t>?</w:t>
      </w:r>
    </w:p>
    <w:p w:rsidR="00147CF8" w:rsidRPr="00473D42" w:rsidRDefault="00147CF8" w:rsidP="00E07F8E">
      <w:pPr>
        <w:jc w:val="both"/>
        <w:rPr>
          <w:lang w:val="es-ES"/>
        </w:rPr>
      </w:pPr>
      <w:r w:rsidRPr="00473D42">
        <w:rPr>
          <w:lang w:val="es-ES"/>
        </w:rPr>
        <w:t xml:space="preserve">Los compromisos asumidos en el TISA con respecto a otros sectores de servicios también podrían tener repercusiones sobre la prestación de la educación. Los sistemas educativos han sufrido </w:t>
      </w:r>
      <w:r w:rsidR="00ED3E17" w:rsidRPr="00473D42">
        <w:rPr>
          <w:lang w:val="es-ES"/>
        </w:rPr>
        <w:t xml:space="preserve">en muchas partes del mundo </w:t>
      </w:r>
      <w:r w:rsidRPr="00473D42">
        <w:rPr>
          <w:lang w:val="es-ES"/>
        </w:rPr>
        <w:t>a causa de la crisis financiera mundial y</w:t>
      </w:r>
      <w:r w:rsidR="00ED3E17">
        <w:rPr>
          <w:lang w:val="es-ES"/>
        </w:rPr>
        <w:t xml:space="preserve"> de</w:t>
      </w:r>
      <w:r w:rsidRPr="00473D42">
        <w:rPr>
          <w:lang w:val="es-ES"/>
        </w:rPr>
        <w:t xml:space="preserve"> la </w:t>
      </w:r>
      <w:r w:rsidR="00146F3D" w:rsidRPr="00473D42">
        <w:rPr>
          <w:lang w:val="es-ES"/>
        </w:rPr>
        <w:t>posterior</w:t>
      </w:r>
      <w:r w:rsidRPr="00473D42">
        <w:rPr>
          <w:lang w:val="es-ES"/>
        </w:rPr>
        <w:t xml:space="preserve"> recesión</w:t>
      </w:r>
      <w:r w:rsidR="00146F3D" w:rsidRPr="00473D42">
        <w:rPr>
          <w:lang w:val="es-ES"/>
        </w:rPr>
        <w:t xml:space="preserve"> </w:t>
      </w:r>
      <w:r w:rsidR="00146F3D" w:rsidRPr="00ED3E17">
        <w:rPr>
          <w:lang w:val="es-ES"/>
        </w:rPr>
        <w:t>económica</w:t>
      </w:r>
      <w:r w:rsidRPr="00473D42">
        <w:rPr>
          <w:lang w:val="es-ES"/>
        </w:rPr>
        <w:t>.</w:t>
      </w:r>
      <w:r w:rsidR="00146F3D" w:rsidRPr="00473D42">
        <w:rPr>
          <w:lang w:val="es-ES"/>
        </w:rPr>
        <w:t xml:space="preserve"> El </w:t>
      </w:r>
      <w:r w:rsidRPr="00473D42">
        <w:rPr>
          <w:lang w:val="es-ES"/>
        </w:rPr>
        <w:t>TISA tiende a liberalizar el sector de los servicios financieros</w:t>
      </w:r>
      <w:r w:rsidR="000528D7">
        <w:rPr>
          <w:lang w:val="es-ES"/>
        </w:rPr>
        <w:t>, de forma</w:t>
      </w:r>
      <w:r w:rsidRPr="00473D42">
        <w:rPr>
          <w:lang w:val="es-ES"/>
        </w:rPr>
        <w:t xml:space="preserve"> </w:t>
      </w:r>
      <w:r w:rsidR="00146F3D" w:rsidRPr="00473D42">
        <w:rPr>
          <w:lang w:val="es-ES"/>
        </w:rPr>
        <w:t xml:space="preserve">que </w:t>
      </w:r>
      <w:r w:rsidRPr="00473D42">
        <w:rPr>
          <w:lang w:val="es-ES"/>
        </w:rPr>
        <w:t>debilitar</w:t>
      </w:r>
      <w:r w:rsidR="00146F3D" w:rsidRPr="00473D42">
        <w:rPr>
          <w:lang w:val="es-ES"/>
        </w:rPr>
        <w:t>á las reglamentaciones</w:t>
      </w:r>
      <w:r w:rsidRPr="00473D42">
        <w:rPr>
          <w:lang w:val="es-ES"/>
        </w:rPr>
        <w:t xml:space="preserve"> </w:t>
      </w:r>
      <w:r w:rsidR="00146F3D" w:rsidRPr="00473D42">
        <w:rPr>
          <w:lang w:val="es-ES"/>
        </w:rPr>
        <w:t xml:space="preserve">concebidas </w:t>
      </w:r>
      <w:r w:rsidRPr="00473D42">
        <w:rPr>
          <w:lang w:val="es-ES"/>
        </w:rPr>
        <w:t>para evitar otra crisis</w:t>
      </w:r>
      <w:r w:rsidR="00146F3D" w:rsidRPr="00473D42">
        <w:rPr>
          <w:lang w:val="es-ES"/>
        </w:rPr>
        <w:t>.</w:t>
      </w:r>
    </w:p>
    <w:p w:rsidR="005A4347" w:rsidRPr="00473D42" w:rsidRDefault="005A4347" w:rsidP="00E07F8E">
      <w:pPr>
        <w:jc w:val="both"/>
        <w:rPr>
          <w:b/>
          <w:lang w:val="es-ES"/>
        </w:rPr>
      </w:pPr>
      <w:r w:rsidRPr="00473D42">
        <w:rPr>
          <w:b/>
          <w:lang w:val="es-ES"/>
        </w:rPr>
        <w:lastRenderedPageBreak/>
        <w:t xml:space="preserve">¿Qué está </w:t>
      </w:r>
      <w:r w:rsidR="00ED3E17">
        <w:rPr>
          <w:b/>
          <w:lang w:val="es-ES"/>
        </w:rPr>
        <w:t>haciendo</w:t>
      </w:r>
      <w:r w:rsidRPr="00473D42">
        <w:rPr>
          <w:b/>
          <w:lang w:val="es-ES"/>
        </w:rPr>
        <w:t xml:space="preserve"> la Internacional de la Educación con respecto al TISA?</w:t>
      </w:r>
    </w:p>
    <w:p w:rsidR="00146F3D" w:rsidRPr="00473D42" w:rsidRDefault="00146F3D" w:rsidP="00E07F8E">
      <w:pPr>
        <w:jc w:val="both"/>
        <w:rPr>
          <w:lang w:val="es-ES"/>
        </w:rPr>
      </w:pPr>
      <w:r w:rsidRPr="00473D42">
        <w:rPr>
          <w:lang w:val="es-ES"/>
        </w:rPr>
        <w:t>La IE está siguiendo de cerca las negociaciones sobre el TISA y reclama que la educación y otros servicios públicos sean excluidos del alcance del acuerdo.</w:t>
      </w:r>
    </w:p>
    <w:p w:rsidR="005A68F1" w:rsidRPr="00473D42" w:rsidRDefault="005A4347" w:rsidP="00E07F8E">
      <w:pPr>
        <w:jc w:val="both"/>
        <w:rPr>
          <w:b/>
          <w:lang w:val="es-ES"/>
        </w:rPr>
      </w:pPr>
      <w:r w:rsidRPr="00473D42">
        <w:rPr>
          <w:b/>
          <w:lang w:val="es-ES"/>
        </w:rPr>
        <w:t>¿Qué pueden hacer las afiliadas nacionales</w:t>
      </w:r>
      <w:r w:rsidR="005A68F1" w:rsidRPr="00473D42">
        <w:rPr>
          <w:b/>
          <w:lang w:val="es-ES"/>
        </w:rPr>
        <w:t>?</w:t>
      </w:r>
    </w:p>
    <w:p w:rsidR="00930A66" w:rsidRPr="00473D42" w:rsidRDefault="00162E00" w:rsidP="00E07F8E">
      <w:pPr>
        <w:jc w:val="both"/>
        <w:rPr>
          <w:lang w:val="es-ES"/>
        </w:rPr>
      </w:pPr>
      <w:r w:rsidRPr="00473D42">
        <w:rPr>
          <w:lang w:val="es-ES"/>
        </w:rPr>
        <w:t xml:space="preserve">Si su país </w:t>
      </w:r>
      <w:r w:rsidR="00930A66" w:rsidRPr="00473D42">
        <w:rPr>
          <w:lang w:val="es-ES"/>
        </w:rPr>
        <w:t>participa</w:t>
      </w:r>
      <w:r w:rsidRPr="00473D42">
        <w:rPr>
          <w:lang w:val="es-ES"/>
        </w:rPr>
        <w:t xml:space="preserve"> en</w:t>
      </w:r>
      <w:r w:rsidR="00930A66" w:rsidRPr="00473D42">
        <w:rPr>
          <w:lang w:val="es-ES"/>
        </w:rPr>
        <w:t xml:space="preserve"> las negociaciones del TISA</w:t>
      </w:r>
      <w:r w:rsidRPr="00473D42">
        <w:rPr>
          <w:lang w:val="es-ES"/>
        </w:rPr>
        <w:t xml:space="preserve">, es </w:t>
      </w:r>
      <w:r w:rsidR="00F85A86" w:rsidRPr="00473D42">
        <w:rPr>
          <w:lang w:val="es-ES"/>
        </w:rPr>
        <w:t xml:space="preserve">fundamental </w:t>
      </w:r>
      <w:r w:rsidRPr="00473D42">
        <w:rPr>
          <w:lang w:val="es-ES"/>
        </w:rPr>
        <w:t xml:space="preserve">hablar con </w:t>
      </w:r>
      <w:r w:rsidR="00F85A86" w:rsidRPr="00473D42">
        <w:rPr>
          <w:lang w:val="es-ES"/>
        </w:rPr>
        <w:t>las autoridades</w:t>
      </w:r>
      <w:r w:rsidRPr="00473D42">
        <w:rPr>
          <w:lang w:val="es-ES"/>
        </w:rPr>
        <w:t xml:space="preserve"> gubernamentales pertinentes, </w:t>
      </w:r>
      <w:r w:rsidR="00F85A86" w:rsidRPr="00473D42">
        <w:rPr>
          <w:lang w:val="es-ES"/>
        </w:rPr>
        <w:t>los parlamentarios</w:t>
      </w:r>
      <w:r w:rsidRPr="00473D42">
        <w:rPr>
          <w:lang w:val="es-ES"/>
        </w:rPr>
        <w:t xml:space="preserve">, así como </w:t>
      </w:r>
      <w:r w:rsidR="00F85A86" w:rsidRPr="00473D42">
        <w:rPr>
          <w:lang w:val="es-ES"/>
        </w:rPr>
        <w:t xml:space="preserve">con los </w:t>
      </w:r>
      <w:r w:rsidRPr="00473D42">
        <w:rPr>
          <w:lang w:val="es-ES"/>
        </w:rPr>
        <w:t>políticos regional</w:t>
      </w:r>
      <w:r w:rsidR="000528D7">
        <w:rPr>
          <w:lang w:val="es-ES"/>
        </w:rPr>
        <w:t>es</w:t>
      </w:r>
      <w:r w:rsidRPr="00473D42">
        <w:rPr>
          <w:lang w:val="es-ES"/>
        </w:rPr>
        <w:t xml:space="preserve"> y municipal</w:t>
      </w:r>
      <w:r w:rsidR="000528D7">
        <w:rPr>
          <w:lang w:val="es-ES"/>
        </w:rPr>
        <w:t>es</w:t>
      </w:r>
      <w:r w:rsidRPr="00473D42">
        <w:rPr>
          <w:lang w:val="es-ES"/>
        </w:rPr>
        <w:t xml:space="preserve"> y explicar</w:t>
      </w:r>
      <w:r w:rsidR="00F85A86" w:rsidRPr="00473D42">
        <w:rPr>
          <w:lang w:val="es-ES"/>
        </w:rPr>
        <w:t>les</w:t>
      </w:r>
      <w:r w:rsidRPr="00473D42">
        <w:rPr>
          <w:lang w:val="es-ES"/>
        </w:rPr>
        <w:t xml:space="preserve"> por qué la educación y otros servicios públicos deberían </w:t>
      </w:r>
      <w:r w:rsidR="00ED3E17">
        <w:rPr>
          <w:lang w:val="es-ES"/>
        </w:rPr>
        <w:t>quedar</w:t>
      </w:r>
      <w:r w:rsidRPr="00473D42">
        <w:rPr>
          <w:lang w:val="es-ES"/>
        </w:rPr>
        <w:t xml:space="preserve"> excluidos del ámbito de aplicación del acuerdo.</w:t>
      </w:r>
      <w:r w:rsidR="00F85A86" w:rsidRPr="00473D42">
        <w:rPr>
          <w:lang w:val="es-ES"/>
        </w:rPr>
        <w:t xml:space="preserve"> </w:t>
      </w:r>
      <w:r w:rsidR="00F74721">
        <w:rPr>
          <w:lang w:val="es-ES"/>
        </w:rPr>
        <w:t>Dado que las p</w:t>
      </w:r>
      <w:r w:rsidRPr="00473D42">
        <w:rPr>
          <w:lang w:val="es-ES"/>
        </w:rPr>
        <w:t>artes intercambiarán nuev</w:t>
      </w:r>
      <w:r w:rsidR="00F85A86" w:rsidRPr="00473D42">
        <w:rPr>
          <w:lang w:val="es-ES"/>
        </w:rPr>
        <w:t>a</w:t>
      </w:r>
      <w:r w:rsidRPr="00473D42">
        <w:rPr>
          <w:lang w:val="es-ES"/>
        </w:rPr>
        <w:t xml:space="preserve">s </w:t>
      </w:r>
      <w:r w:rsidR="00F85A86" w:rsidRPr="00473D42">
        <w:rPr>
          <w:lang w:val="es-ES"/>
        </w:rPr>
        <w:t xml:space="preserve">ofertas de </w:t>
      </w:r>
      <w:r w:rsidRPr="00473D42">
        <w:rPr>
          <w:lang w:val="es-ES"/>
        </w:rPr>
        <w:t xml:space="preserve">servicios en los próximos meses, es importante </w:t>
      </w:r>
      <w:r w:rsidR="00F85A86" w:rsidRPr="00473D42">
        <w:rPr>
          <w:lang w:val="es-ES"/>
        </w:rPr>
        <w:t>que se pongan</w:t>
      </w:r>
      <w:r w:rsidRPr="00473D42">
        <w:rPr>
          <w:lang w:val="es-ES"/>
        </w:rPr>
        <w:t xml:space="preserve"> en contacto con sus </w:t>
      </w:r>
      <w:r w:rsidR="00F85A86" w:rsidRPr="00473D42">
        <w:rPr>
          <w:lang w:val="es-ES"/>
        </w:rPr>
        <w:t xml:space="preserve">autoridades gubernamentales </w:t>
      </w:r>
      <w:r w:rsidRPr="00473D42">
        <w:rPr>
          <w:lang w:val="es-ES"/>
        </w:rPr>
        <w:t>y ha</w:t>
      </w:r>
      <w:r w:rsidR="00F85A86" w:rsidRPr="00473D42">
        <w:rPr>
          <w:lang w:val="es-ES"/>
        </w:rPr>
        <w:t>gan</w:t>
      </w:r>
      <w:r w:rsidRPr="00473D42">
        <w:rPr>
          <w:lang w:val="es-ES"/>
        </w:rPr>
        <w:t xml:space="preserve"> declaraciones públicas sobre los peligros potenciales de inclu</w:t>
      </w:r>
      <w:r w:rsidR="00F85A86" w:rsidRPr="00473D42">
        <w:rPr>
          <w:lang w:val="es-ES"/>
        </w:rPr>
        <w:t>ir</w:t>
      </w:r>
      <w:r w:rsidRPr="00473D42">
        <w:rPr>
          <w:lang w:val="es-ES"/>
        </w:rPr>
        <w:t xml:space="preserve"> la educación y otros servicios públicos en </w:t>
      </w:r>
      <w:r w:rsidR="00F85A86" w:rsidRPr="00473D42">
        <w:rPr>
          <w:lang w:val="es-ES"/>
        </w:rPr>
        <w:t>el TISA</w:t>
      </w:r>
      <w:r w:rsidRPr="00473D42">
        <w:rPr>
          <w:lang w:val="es-ES"/>
        </w:rPr>
        <w:t>.</w:t>
      </w:r>
      <w:r w:rsidR="00F85A86" w:rsidRPr="00473D42">
        <w:rPr>
          <w:lang w:val="es-ES"/>
        </w:rPr>
        <w:t xml:space="preserve"> </w:t>
      </w:r>
      <w:r w:rsidR="00CE0D99" w:rsidRPr="00473D42">
        <w:rPr>
          <w:lang w:val="es-ES"/>
        </w:rPr>
        <w:t>L</w:t>
      </w:r>
      <w:r w:rsidR="00930A66" w:rsidRPr="00473D42">
        <w:rPr>
          <w:lang w:val="es-ES"/>
        </w:rPr>
        <w:t xml:space="preserve">as </w:t>
      </w:r>
      <w:r w:rsidR="00ED3E17">
        <w:rPr>
          <w:lang w:val="es-ES"/>
        </w:rPr>
        <w:t>afiliadas</w:t>
      </w:r>
      <w:r w:rsidR="00930A66" w:rsidRPr="00473D42">
        <w:rPr>
          <w:lang w:val="es-ES"/>
        </w:rPr>
        <w:t xml:space="preserve"> </w:t>
      </w:r>
      <w:r w:rsidR="00CE0D99" w:rsidRPr="00473D42">
        <w:rPr>
          <w:lang w:val="es-ES"/>
        </w:rPr>
        <w:t>de</w:t>
      </w:r>
      <w:r w:rsidR="00930A66" w:rsidRPr="00473D42">
        <w:rPr>
          <w:lang w:val="es-ES"/>
        </w:rPr>
        <w:t xml:space="preserve"> los países miembros de la OMC pero que no </w:t>
      </w:r>
      <w:r w:rsidR="00CE0D99" w:rsidRPr="00473D42">
        <w:rPr>
          <w:lang w:val="es-ES"/>
        </w:rPr>
        <w:t>participan en el TISA</w:t>
      </w:r>
      <w:r w:rsidR="00930A66" w:rsidRPr="00473D42">
        <w:rPr>
          <w:lang w:val="es-ES"/>
        </w:rPr>
        <w:t xml:space="preserve"> </w:t>
      </w:r>
      <w:r w:rsidR="00CE0D99" w:rsidRPr="00473D42">
        <w:rPr>
          <w:lang w:val="es-ES"/>
        </w:rPr>
        <w:t xml:space="preserve">deben </w:t>
      </w:r>
      <w:r w:rsidR="00930A66" w:rsidRPr="00473D42">
        <w:rPr>
          <w:lang w:val="es-ES"/>
        </w:rPr>
        <w:t xml:space="preserve">reunirse con </w:t>
      </w:r>
      <w:r w:rsidR="00ED3E17">
        <w:rPr>
          <w:lang w:val="es-ES"/>
        </w:rPr>
        <w:t>sus</w:t>
      </w:r>
      <w:r w:rsidR="00433463" w:rsidRPr="00473D42">
        <w:rPr>
          <w:lang w:val="es-ES"/>
        </w:rPr>
        <w:t xml:space="preserve"> políticos</w:t>
      </w:r>
      <w:r w:rsidR="00930A66" w:rsidRPr="00473D42">
        <w:rPr>
          <w:lang w:val="es-ES"/>
        </w:rPr>
        <w:t xml:space="preserve"> para obtener </w:t>
      </w:r>
      <w:r w:rsidR="00CE0D99" w:rsidRPr="00473D42">
        <w:rPr>
          <w:lang w:val="es-ES"/>
        </w:rPr>
        <w:t>la garantía de que no se sumarán</w:t>
      </w:r>
      <w:r w:rsidR="00930A66" w:rsidRPr="00473D42">
        <w:rPr>
          <w:lang w:val="es-ES"/>
        </w:rPr>
        <w:t xml:space="preserve"> a las negociaciones.</w:t>
      </w:r>
    </w:p>
    <w:p w:rsidR="00162E00" w:rsidRPr="00473D42" w:rsidRDefault="00162E00" w:rsidP="00E07F8E">
      <w:pPr>
        <w:jc w:val="both"/>
        <w:rPr>
          <w:lang w:val="es-ES"/>
        </w:rPr>
      </w:pPr>
    </w:p>
    <w:sectPr w:rsidR="00162E00" w:rsidRPr="00473D42" w:rsidSect="001A39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F3" w:rsidRDefault="00FB1AF3" w:rsidP="00D54379">
      <w:pPr>
        <w:spacing w:after="0" w:line="240" w:lineRule="auto"/>
      </w:pPr>
      <w:r>
        <w:separator/>
      </w:r>
    </w:p>
  </w:endnote>
  <w:endnote w:type="continuationSeparator" w:id="0">
    <w:p w:rsidR="00FB1AF3" w:rsidRDefault="00FB1AF3" w:rsidP="00D5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F3" w:rsidRDefault="00FB1AF3" w:rsidP="00D54379">
      <w:pPr>
        <w:spacing w:after="0" w:line="240" w:lineRule="auto"/>
      </w:pPr>
      <w:r>
        <w:separator/>
      </w:r>
    </w:p>
  </w:footnote>
  <w:footnote w:type="continuationSeparator" w:id="0">
    <w:p w:rsidR="00FB1AF3" w:rsidRDefault="00FB1AF3" w:rsidP="00D54379">
      <w:pPr>
        <w:spacing w:after="0" w:line="240" w:lineRule="auto"/>
      </w:pPr>
      <w:r>
        <w:continuationSeparator/>
      </w:r>
    </w:p>
  </w:footnote>
  <w:footnote w:id="1">
    <w:p w:rsidR="00CE48B4" w:rsidRPr="007670E6" w:rsidRDefault="00CE48B4" w:rsidP="00CE48B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="007670E6" w:rsidRPr="007670E6">
        <w:rPr>
          <w:lang w:val="es-ES"/>
        </w:rPr>
        <w:t xml:space="preserve"> </w:t>
      </w:r>
      <w:hyperlink r:id="rId1" w:history="1">
        <w:r w:rsidR="007670E6">
          <w:rPr>
            <w:rStyle w:val="Hyperlink"/>
            <w:lang w:val="es-ES"/>
          </w:rPr>
          <w:t>Oferta de servicios de la UE</w:t>
        </w:r>
      </w:hyperlink>
      <w:r w:rsidRPr="007670E6">
        <w:rPr>
          <w:lang w:val="es-ES"/>
        </w:rPr>
        <w:t xml:space="preserve">, </w:t>
      </w:r>
      <w:hyperlink r:id="rId2" w:history="1">
        <w:r w:rsidR="007670E6" w:rsidRPr="007670E6">
          <w:rPr>
            <w:rStyle w:val="Hyperlink"/>
            <w:lang w:val="es-ES"/>
          </w:rPr>
          <w:t xml:space="preserve">Oferta de </w:t>
        </w:r>
        <w:r w:rsidRPr="007670E6">
          <w:rPr>
            <w:rStyle w:val="Hyperlink"/>
            <w:lang w:val="es-ES"/>
          </w:rPr>
          <w:t>servic</w:t>
        </w:r>
        <w:r w:rsidR="007670E6">
          <w:rPr>
            <w:rStyle w:val="Hyperlink"/>
            <w:lang w:val="es-ES"/>
          </w:rPr>
          <w:t>ios de Noruega</w:t>
        </w:r>
      </w:hyperlink>
    </w:p>
    <w:p w:rsidR="00CE48B4" w:rsidRPr="007670E6" w:rsidRDefault="00CE48B4" w:rsidP="00CE48B4">
      <w:pPr>
        <w:pStyle w:val="FootnoteText"/>
        <w:rPr>
          <w:lang w:val="es-ES"/>
        </w:rPr>
      </w:pPr>
    </w:p>
  </w:footnote>
  <w:footnote w:id="2">
    <w:p w:rsidR="007B4845" w:rsidRPr="00E84E33" w:rsidRDefault="007B4845" w:rsidP="007B4845">
      <w:pPr>
        <w:jc w:val="both"/>
        <w:rPr>
          <w:i/>
          <w:lang w:val="es-ES"/>
        </w:rPr>
      </w:pPr>
      <w:r>
        <w:rPr>
          <w:rStyle w:val="FootnoteReference"/>
        </w:rPr>
        <w:footnoteRef/>
      </w:r>
      <w:r w:rsidRPr="009276F1">
        <w:rPr>
          <w:lang w:val="es-ES"/>
        </w:rPr>
        <w:t xml:space="preserve"> Dice lo siguiente:</w:t>
      </w:r>
      <w:r>
        <w:rPr>
          <w:i/>
          <w:lang w:val="es-ES"/>
        </w:rPr>
        <w:t xml:space="preserve"> “</w:t>
      </w:r>
      <w:r w:rsidRPr="00E84E33">
        <w:rPr>
          <w:i/>
          <w:lang w:val="es-ES"/>
        </w:rPr>
        <w:t xml:space="preserve">La UE se reserva el derecho de adoptar o mantener cualquier medida con respecto a los servicios de </w:t>
      </w:r>
      <w:r>
        <w:rPr>
          <w:i/>
          <w:lang w:val="es-ES"/>
        </w:rPr>
        <w:t>enseñanza de financiación</w:t>
      </w:r>
      <w:r w:rsidRPr="00E84E33">
        <w:rPr>
          <w:i/>
          <w:lang w:val="es-ES"/>
        </w:rPr>
        <w:t xml:space="preserve"> pública (CPC 92) y con respecto a otros servicios de </w:t>
      </w:r>
      <w:r>
        <w:rPr>
          <w:i/>
          <w:lang w:val="es-ES"/>
        </w:rPr>
        <w:t xml:space="preserve">enseñanza de financiación </w:t>
      </w:r>
      <w:r w:rsidRPr="00E84E33">
        <w:rPr>
          <w:i/>
          <w:lang w:val="es-ES"/>
        </w:rPr>
        <w:t>privada (CPC 929)</w:t>
      </w:r>
      <w:r>
        <w:rPr>
          <w:i/>
          <w:lang w:val="es-ES"/>
        </w:rPr>
        <w:t>”</w:t>
      </w:r>
      <w:r w:rsidRPr="00E84E33">
        <w:rPr>
          <w:i/>
          <w:lang w:val="es-ES"/>
        </w:rPr>
        <w:t>.</w:t>
      </w:r>
    </w:p>
  </w:footnote>
  <w:footnote w:id="3">
    <w:p w:rsidR="001A44CF" w:rsidRDefault="007B4845" w:rsidP="007B4845">
      <w:pPr>
        <w:pStyle w:val="FootnoteText"/>
        <w:jc w:val="both"/>
        <w:rPr>
          <w:i/>
          <w:lang w:val="es-ES"/>
        </w:rPr>
      </w:pPr>
      <w:r>
        <w:rPr>
          <w:rStyle w:val="FootnoteReference"/>
        </w:rPr>
        <w:footnoteRef/>
      </w:r>
      <w:r w:rsidR="001A44CF" w:rsidRPr="001A44CF">
        <w:rPr>
          <w:lang w:val="es-ES"/>
        </w:rPr>
        <w:t xml:space="preserve"> Dice lo siguiente:</w:t>
      </w:r>
      <w:r w:rsidR="001A44CF" w:rsidRPr="001A44CF">
        <w:rPr>
          <w:i/>
          <w:lang w:val="es-ES"/>
        </w:rPr>
        <w:t xml:space="preserve"> “La UE se reserva el derecho de adoptar o mantener cualquier medida con respecto a</w:t>
      </w:r>
      <w:r w:rsidR="001A44CF" w:rsidRPr="001A44CF">
        <w:rPr>
          <w:lang w:val="es-ES"/>
        </w:rPr>
        <w:t xml:space="preserve"> </w:t>
      </w:r>
      <w:r w:rsidR="001A44CF" w:rsidRPr="001A44CF">
        <w:rPr>
          <w:i/>
          <w:lang w:val="es-ES"/>
        </w:rPr>
        <w:t xml:space="preserve">la </w:t>
      </w:r>
      <w:r w:rsidR="001A44CF" w:rsidRPr="001A44CF">
        <w:rPr>
          <w:b/>
          <w:i/>
          <w:lang w:val="es-ES"/>
        </w:rPr>
        <w:t xml:space="preserve">prestación de todos los servicios </w:t>
      </w:r>
      <w:r w:rsidR="001A44CF">
        <w:rPr>
          <w:b/>
          <w:i/>
          <w:lang w:val="es-ES"/>
        </w:rPr>
        <w:t>educativos</w:t>
      </w:r>
      <w:r w:rsidR="001A44CF" w:rsidRPr="001A44CF">
        <w:rPr>
          <w:b/>
          <w:i/>
          <w:lang w:val="es-ES"/>
        </w:rPr>
        <w:t xml:space="preserve"> que reciban financiación pública o cualquier forma de apoyo estatal y por tanto no se consideren de financiación privada</w:t>
      </w:r>
      <w:r w:rsidR="001A44CF">
        <w:rPr>
          <w:b/>
          <w:i/>
          <w:lang w:val="es-ES"/>
        </w:rPr>
        <w:t>.</w:t>
      </w:r>
    </w:p>
    <w:p w:rsidR="007B5AE2" w:rsidRPr="007B5AE2" w:rsidRDefault="00884193" w:rsidP="007B4845">
      <w:pPr>
        <w:pStyle w:val="FootnoteText"/>
        <w:jc w:val="both"/>
        <w:rPr>
          <w:i/>
          <w:lang w:val="es-ES"/>
        </w:rPr>
      </w:pPr>
      <w:r w:rsidRPr="00884193">
        <w:rPr>
          <w:i/>
          <w:lang w:val="es-ES"/>
        </w:rPr>
        <w:t xml:space="preserve">La UE, excepto CZ, NL, SE, </w:t>
      </w:r>
      <w:r>
        <w:rPr>
          <w:i/>
          <w:lang w:val="es-ES"/>
        </w:rPr>
        <w:t xml:space="preserve">y SK, se reserva el derecho a adoptar o mantener cualquier medida con respecto a la </w:t>
      </w:r>
      <w:r w:rsidRPr="0086380F">
        <w:rPr>
          <w:b/>
          <w:i/>
          <w:lang w:val="es-ES"/>
        </w:rPr>
        <w:t xml:space="preserve">prestación de otros servicios </w:t>
      </w:r>
      <w:r w:rsidR="0086380F" w:rsidRPr="0086380F">
        <w:rPr>
          <w:b/>
          <w:i/>
          <w:lang w:val="es-ES"/>
        </w:rPr>
        <w:t>de enseñanza de financiación privada</w:t>
      </w:r>
      <w:r w:rsidRPr="0086380F">
        <w:rPr>
          <w:b/>
          <w:i/>
          <w:lang w:val="es-ES"/>
        </w:rPr>
        <w:t xml:space="preserve"> (CPC 929),</w:t>
      </w:r>
      <w:r w:rsidR="007B5AE2" w:rsidRPr="007B5AE2">
        <w:rPr>
          <w:lang w:val="es-ES"/>
        </w:rPr>
        <w:t xml:space="preserve"> </w:t>
      </w:r>
      <w:r w:rsidR="007B5AE2" w:rsidRPr="007B5AE2">
        <w:rPr>
          <w:b/>
          <w:i/>
          <w:lang w:val="es-ES"/>
        </w:rPr>
        <w:t>es decir, distintos de los clasificados como servicios de enseñanza primaria, secundaria, superior y de adultos.</w:t>
      </w:r>
    </w:p>
    <w:p w:rsidR="007B5AE2" w:rsidRPr="007B5AE2" w:rsidRDefault="007B5AE2" w:rsidP="007B5AE2">
      <w:pPr>
        <w:pStyle w:val="FootnoteText"/>
        <w:tabs>
          <w:tab w:val="left" w:pos="4170"/>
        </w:tabs>
        <w:jc w:val="both"/>
        <w:rPr>
          <w:b/>
          <w:i/>
          <w:lang w:val="es-ES"/>
        </w:rPr>
      </w:pPr>
      <w:r w:rsidRPr="007B5AE2">
        <w:rPr>
          <w:b/>
          <w:i/>
          <w:lang w:val="es-ES"/>
        </w:rPr>
        <w:t xml:space="preserve">Cuando la prestación de </w:t>
      </w:r>
      <w:r w:rsidRPr="0086380F">
        <w:rPr>
          <w:b/>
          <w:i/>
          <w:lang w:val="es-ES"/>
        </w:rPr>
        <w:t>servicios de enseñanza de financiación privada</w:t>
      </w:r>
      <w:r w:rsidRPr="007B5AE2">
        <w:rPr>
          <w:b/>
          <w:i/>
          <w:lang w:val="es-ES"/>
        </w:rPr>
        <w:t xml:space="preserve"> por </w:t>
      </w:r>
      <w:r>
        <w:rPr>
          <w:b/>
          <w:i/>
          <w:lang w:val="es-ES"/>
        </w:rPr>
        <w:t>parte de un proveedor extranjero esté</w:t>
      </w:r>
      <w:r w:rsidRPr="007B5AE2">
        <w:rPr>
          <w:b/>
          <w:i/>
          <w:lang w:val="es-ES"/>
        </w:rPr>
        <w:t xml:space="preserve"> permitida, la participación de </w:t>
      </w:r>
      <w:r>
        <w:rPr>
          <w:b/>
          <w:i/>
          <w:lang w:val="es-ES"/>
        </w:rPr>
        <w:t xml:space="preserve">los </w:t>
      </w:r>
      <w:r w:rsidRPr="007B5AE2">
        <w:rPr>
          <w:b/>
          <w:i/>
          <w:lang w:val="es-ES"/>
        </w:rPr>
        <w:t xml:space="preserve">operadores privados en el sistema educativo puede estar sujeta a </w:t>
      </w:r>
      <w:r>
        <w:rPr>
          <w:b/>
          <w:i/>
          <w:lang w:val="es-ES"/>
        </w:rPr>
        <w:t>concesión adjudicada</w:t>
      </w:r>
      <w:r w:rsidRPr="007B5AE2">
        <w:rPr>
          <w:b/>
          <w:i/>
          <w:lang w:val="es-ES"/>
        </w:rPr>
        <w:t xml:space="preserve"> sobre una base no discriminatoria</w:t>
      </w:r>
      <w:r>
        <w:rPr>
          <w:b/>
          <w:i/>
          <w:lang w:val="es-ES"/>
        </w:rPr>
        <w:t>”</w:t>
      </w:r>
      <w:r w:rsidRPr="007B5AE2">
        <w:rPr>
          <w:b/>
          <w:i/>
          <w:lang w:val="es-ES"/>
        </w:rPr>
        <w:t>.</w:t>
      </w:r>
    </w:p>
    <w:p w:rsidR="00884193" w:rsidRPr="007B5AE2" w:rsidRDefault="00884193" w:rsidP="007B4845">
      <w:pPr>
        <w:pStyle w:val="FootnoteText"/>
        <w:jc w:val="both"/>
        <w:rPr>
          <w:i/>
          <w:lang w:val="es-ES"/>
        </w:rPr>
      </w:pPr>
    </w:p>
  </w:footnote>
  <w:footnote w:id="4">
    <w:p w:rsidR="00131453" w:rsidRPr="00131453" w:rsidRDefault="007B4845" w:rsidP="007B4845">
      <w:pPr>
        <w:pStyle w:val="FootnoteText"/>
        <w:rPr>
          <w:i/>
          <w:lang w:val="es-ES"/>
        </w:rPr>
      </w:pPr>
      <w:r>
        <w:rPr>
          <w:rStyle w:val="FootnoteReference"/>
        </w:rPr>
        <w:footnoteRef/>
      </w:r>
      <w:r w:rsidR="00F82089">
        <w:rPr>
          <w:i/>
          <w:lang w:val="es-ES"/>
        </w:rPr>
        <w:t xml:space="preserve"> </w:t>
      </w:r>
      <w:r w:rsidR="00131453" w:rsidRPr="00131453">
        <w:rPr>
          <w:i/>
          <w:lang w:val="es-ES"/>
        </w:rPr>
        <w:t>“</w:t>
      </w:r>
      <w:r w:rsidR="00131453">
        <w:rPr>
          <w:i/>
          <w:lang w:val="es-ES"/>
        </w:rPr>
        <w:t>En t</w:t>
      </w:r>
      <w:r w:rsidR="00131453" w:rsidRPr="00131453">
        <w:rPr>
          <w:i/>
          <w:lang w:val="es-ES"/>
        </w:rPr>
        <w:t>odos los Estados miembros de la CE</w:t>
      </w:r>
      <w:r w:rsidR="00131453">
        <w:rPr>
          <w:i/>
          <w:lang w:val="es-ES"/>
        </w:rPr>
        <w:t>,</w:t>
      </w:r>
      <w:r w:rsidR="00131453" w:rsidRPr="00131453">
        <w:rPr>
          <w:i/>
          <w:lang w:val="es-ES"/>
        </w:rPr>
        <w:t xml:space="preserve"> los servicios considerados servicios públicos a nivel nacional o local pueden estar sujetos a monopolio público o a derechos exclusivos o</w:t>
      </w:r>
      <w:r w:rsidR="00131453">
        <w:rPr>
          <w:i/>
          <w:lang w:val="es-ES"/>
        </w:rPr>
        <w:t>torgados a empresarios privados.</w:t>
      </w:r>
    </w:p>
    <w:p w:rsidR="00E948D0" w:rsidRPr="00C8271C" w:rsidRDefault="00C8271C" w:rsidP="007B4845">
      <w:pPr>
        <w:pStyle w:val="FootnoteText"/>
        <w:rPr>
          <w:i/>
          <w:lang w:val="es-ES"/>
        </w:rPr>
      </w:pPr>
      <w:r>
        <w:rPr>
          <w:i/>
          <w:lang w:val="es-ES"/>
        </w:rPr>
        <w:t>E</w:t>
      </w:r>
      <w:r w:rsidRPr="00C8271C">
        <w:rPr>
          <w:i/>
          <w:lang w:val="es-ES"/>
        </w:rPr>
        <w:t xml:space="preserve">xisten servicios públicos en sectores como los de servicios conexos de asesoría en ciencia y tecnología, servicios de investigación y desarrollo sobre ciencias sociales y humanidades, servicios de ensayos y análisis técnicos, servicios relacionados con el medio ambiente, servicios de salud, servicios de transporte y servicios auxiliares en relación con todos los medios de transporte. Se otorgan a menudo derechos exclusivos respecto de esos servicios a empresas privadas, por ejemplo mediante concesiones otorgadas por las autoridades públicas con sujeción a determinadas obligaciones. </w:t>
      </w:r>
      <w:r w:rsidRPr="00C8271C">
        <w:rPr>
          <w:b/>
          <w:i/>
          <w:lang w:val="es-ES"/>
        </w:rPr>
        <w:t>Como también existen a menudo servicios públicos a nivel descentralizado, no resulta práctica la formulación de listas detalladas y exhaustivas por sectores</w:t>
      </w:r>
      <w:r w:rsidR="006B20F7">
        <w:rPr>
          <w:b/>
          <w:i/>
          <w:lang w:val="es-ES"/>
        </w:rPr>
        <w:t>.</w:t>
      </w:r>
    </w:p>
    <w:p w:rsidR="007B4845" w:rsidRPr="006B20F7" w:rsidRDefault="006B20F7" w:rsidP="007B4845">
      <w:pPr>
        <w:pStyle w:val="FootnoteText"/>
        <w:rPr>
          <w:lang w:val="es-ES"/>
        </w:rPr>
      </w:pPr>
      <w:r w:rsidRPr="006B20F7">
        <w:rPr>
          <w:i/>
          <w:lang w:val="es-ES"/>
        </w:rPr>
        <w:t xml:space="preserve">Esta limitación no se aplica a los servicios de telecomunicaciones ni a los servicios de </w:t>
      </w:r>
      <w:r>
        <w:rPr>
          <w:i/>
          <w:lang w:val="es-ES"/>
        </w:rPr>
        <w:t>informática y servicios conexos</w:t>
      </w:r>
      <w:r w:rsidR="007B4845" w:rsidRPr="006B20F7">
        <w:rPr>
          <w:i/>
          <w:lang w:val="es-ES"/>
        </w:rPr>
        <w:t>”</w:t>
      </w:r>
      <w:r>
        <w:rPr>
          <w:i/>
          <w:lang w:val="es-ES"/>
        </w:rPr>
        <w:t>.</w:t>
      </w:r>
      <w:r w:rsidR="007B4845" w:rsidRPr="006B20F7">
        <w:rPr>
          <w:i/>
          <w:lang w:val="es-E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9"/>
    <w:rsid w:val="00040C05"/>
    <w:rsid w:val="00041ECF"/>
    <w:rsid w:val="000528D7"/>
    <w:rsid w:val="0005564E"/>
    <w:rsid w:val="00056F3F"/>
    <w:rsid w:val="000734DB"/>
    <w:rsid w:val="000821B2"/>
    <w:rsid w:val="000B0164"/>
    <w:rsid w:val="0010773B"/>
    <w:rsid w:val="00131453"/>
    <w:rsid w:val="00141208"/>
    <w:rsid w:val="00146F3D"/>
    <w:rsid w:val="00147CF8"/>
    <w:rsid w:val="00153420"/>
    <w:rsid w:val="00162E00"/>
    <w:rsid w:val="00176654"/>
    <w:rsid w:val="00197A85"/>
    <w:rsid w:val="001A39A2"/>
    <w:rsid w:val="001A44CF"/>
    <w:rsid w:val="00244B24"/>
    <w:rsid w:val="002807B9"/>
    <w:rsid w:val="002B3FBB"/>
    <w:rsid w:val="002C2F6D"/>
    <w:rsid w:val="002C520C"/>
    <w:rsid w:val="002E2DB0"/>
    <w:rsid w:val="002F4A96"/>
    <w:rsid w:val="003071F0"/>
    <w:rsid w:val="003072AF"/>
    <w:rsid w:val="0032362D"/>
    <w:rsid w:val="003445AE"/>
    <w:rsid w:val="00380819"/>
    <w:rsid w:val="0038686D"/>
    <w:rsid w:val="00397F40"/>
    <w:rsid w:val="003A1272"/>
    <w:rsid w:val="00406DBE"/>
    <w:rsid w:val="00414734"/>
    <w:rsid w:val="00433463"/>
    <w:rsid w:val="004360A0"/>
    <w:rsid w:val="0045155E"/>
    <w:rsid w:val="00473D42"/>
    <w:rsid w:val="0048045C"/>
    <w:rsid w:val="00485E1F"/>
    <w:rsid w:val="00486CB9"/>
    <w:rsid w:val="00517F66"/>
    <w:rsid w:val="00532338"/>
    <w:rsid w:val="00540BF4"/>
    <w:rsid w:val="00575F30"/>
    <w:rsid w:val="00596C68"/>
    <w:rsid w:val="005A0BEE"/>
    <w:rsid w:val="005A4347"/>
    <w:rsid w:val="005A68F1"/>
    <w:rsid w:val="005C1D2C"/>
    <w:rsid w:val="005C416B"/>
    <w:rsid w:val="0061023A"/>
    <w:rsid w:val="00622591"/>
    <w:rsid w:val="00670031"/>
    <w:rsid w:val="00670856"/>
    <w:rsid w:val="006714F7"/>
    <w:rsid w:val="006918C2"/>
    <w:rsid w:val="00694784"/>
    <w:rsid w:val="006B1547"/>
    <w:rsid w:val="006B20F7"/>
    <w:rsid w:val="006C3B54"/>
    <w:rsid w:val="006F002D"/>
    <w:rsid w:val="006F3F52"/>
    <w:rsid w:val="00750496"/>
    <w:rsid w:val="007670E6"/>
    <w:rsid w:val="00774743"/>
    <w:rsid w:val="0079540B"/>
    <w:rsid w:val="007A30AC"/>
    <w:rsid w:val="007B4845"/>
    <w:rsid w:val="007B5AE2"/>
    <w:rsid w:val="007C00BD"/>
    <w:rsid w:val="007C5FA5"/>
    <w:rsid w:val="007D327B"/>
    <w:rsid w:val="007F1091"/>
    <w:rsid w:val="007F5C74"/>
    <w:rsid w:val="008230A6"/>
    <w:rsid w:val="008560DF"/>
    <w:rsid w:val="008574E4"/>
    <w:rsid w:val="0086380F"/>
    <w:rsid w:val="00884193"/>
    <w:rsid w:val="008B0ADF"/>
    <w:rsid w:val="008B17DC"/>
    <w:rsid w:val="008E577A"/>
    <w:rsid w:val="008E7A15"/>
    <w:rsid w:val="00913983"/>
    <w:rsid w:val="00914CC0"/>
    <w:rsid w:val="00915533"/>
    <w:rsid w:val="00925F50"/>
    <w:rsid w:val="009276F1"/>
    <w:rsid w:val="00930A66"/>
    <w:rsid w:val="00941F4A"/>
    <w:rsid w:val="009439C5"/>
    <w:rsid w:val="00997BF4"/>
    <w:rsid w:val="009E36D2"/>
    <w:rsid w:val="00A11766"/>
    <w:rsid w:val="00A14B91"/>
    <w:rsid w:val="00A47F81"/>
    <w:rsid w:val="00A901EA"/>
    <w:rsid w:val="00AB4ECB"/>
    <w:rsid w:val="00AD41B9"/>
    <w:rsid w:val="00AE19E3"/>
    <w:rsid w:val="00AF38E9"/>
    <w:rsid w:val="00AF761A"/>
    <w:rsid w:val="00B027E1"/>
    <w:rsid w:val="00B04087"/>
    <w:rsid w:val="00B370B4"/>
    <w:rsid w:val="00B52BD4"/>
    <w:rsid w:val="00B713AF"/>
    <w:rsid w:val="00B75367"/>
    <w:rsid w:val="00B80F7A"/>
    <w:rsid w:val="00B87750"/>
    <w:rsid w:val="00B91847"/>
    <w:rsid w:val="00BA098F"/>
    <w:rsid w:val="00BB38C3"/>
    <w:rsid w:val="00BB5BE5"/>
    <w:rsid w:val="00BC6B81"/>
    <w:rsid w:val="00BD2826"/>
    <w:rsid w:val="00C61EDB"/>
    <w:rsid w:val="00C8271C"/>
    <w:rsid w:val="00CB3442"/>
    <w:rsid w:val="00CB3E51"/>
    <w:rsid w:val="00CC03E0"/>
    <w:rsid w:val="00CE0D99"/>
    <w:rsid w:val="00CE48B4"/>
    <w:rsid w:val="00CF094F"/>
    <w:rsid w:val="00D034FA"/>
    <w:rsid w:val="00D45D3B"/>
    <w:rsid w:val="00D54379"/>
    <w:rsid w:val="00D6308F"/>
    <w:rsid w:val="00D73379"/>
    <w:rsid w:val="00DD2894"/>
    <w:rsid w:val="00DD6541"/>
    <w:rsid w:val="00E04E98"/>
    <w:rsid w:val="00E07F8E"/>
    <w:rsid w:val="00E115D2"/>
    <w:rsid w:val="00E136D1"/>
    <w:rsid w:val="00E16DFF"/>
    <w:rsid w:val="00E23B1F"/>
    <w:rsid w:val="00E276DC"/>
    <w:rsid w:val="00E473FF"/>
    <w:rsid w:val="00E50912"/>
    <w:rsid w:val="00E56C8F"/>
    <w:rsid w:val="00E6278E"/>
    <w:rsid w:val="00E629EC"/>
    <w:rsid w:val="00E730BB"/>
    <w:rsid w:val="00E84E33"/>
    <w:rsid w:val="00E948D0"/>
    <w:rsid w:val="00EA5392"/>
    <w:rsid w:val="00ED3E17"/>
    <w:rsid w:val="00ED6F7E"/>
    <w:rsid w:val="00F34CAB"/>
    <w:rsid w:val="00F462FA"/>
    <w:rsid w:val="00F74721"/>
    <w:rsid w:val="00F82089"/>
    <w:rsid w:val="00F85A86"/>
    <w:rsid w:val="00F91E57"/>
    <w:rsid w:val="00FB0076"/>
    <w:rsid w:val="00FB059C"/>
    <w:rsid w:val="00FB1AF3"/>
    <w:rsid w:val="00FB4B8A"/>
    <w:rsid w:val="00FC1570"/>
    <w:rsid w:val="00FC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5FA11-20F6-44CC-9540-7D2F23E7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3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543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37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543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2D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34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5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C74"/>
  </w:style>
  <w:style w:type="paragraph" w:styleId="Footer">
    <w:name w:val="footer"/>
    <w:basedOn w:val="Normal"/>
    <w:link w:val="FooterChar"/>
    <w:uiPriority w:val="99"/>
    <w:semiHidden/>
    <w:unhideWhenUsed/>
    <w:rsid w:val="007F5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0903">
          <w:marLeft w:val="0"/>
          <w:marRight w:val="0"/>
          <w:marTop w:val="5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4218">
              <w:marLeft w:val="0"/>
              <w:marRight w:val="0"/>
              <w:marTop w:val="10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034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gc.ca/trade-agreements-accords-commerciaux/topics-domaines/services/tisa-acs.aspx?lang=en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ec.europa.eu/trade/policy/in-focus/tisa/index_es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de.ec.europa.eu/doclib/docs/2016/february/tradoc_154306.doc.pdf" TargetMode="Externa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gjeringen.no/globalassets/upload/ud/vedlegg/handelspolitikk/tisa_offer.pdf" TargetMode="External"/><Relationship Id="rId1" Type="http://schemas.openxmlformats.org/officeDocument/2006/relationships/hyperlink" Target="http://trade.ec.europa.eu/doclib/docs/2014/july/tradoc_15268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18C99F93-9A4D-427A-8551-BCCE5C3C139F}"/>
</file>

<file path=customXml/itemProps2.xml><?xml version="1.0" encoding="utf-8"?>
<ds:datastoreItem xmlns:ds="http://schemas.openxmlformats.org/officeDocument/2006/customXml" ds:itemID="{C335A0A5-855C-4202-A2D7-A3B43C8B7782}"/>
</file>

<file path=customXml/itemProps3.xml><?xml version="1.0" encoding="utf-8"?>
<ds:datastoreItem xmlns:ds="http://schemas.openxmlformats.org/officeDocument/2006/customXml" ds:itemID="{B8D07356-2D7B-4F1A-8B9D-AFB6DFEC93AE}"/>
</file>

<file path=customXml/itemProps4.xml><?xml version="1.0" encoding="utf-8"?>
<ds:datastoreItem xmlns:ds="http://schemas.openxmlformats.org/officeDocument/2006/customXml" ds:itemID="{0BE21937-2597-4557-B113-DB65F72C017A}"/>
</file>

<file path=customXml/itemProps5.xml><?xml version="1.0" encoding="utf-8"?>
<ds:datastoreItem xmlns:ds="http://schemas.openxmlformats.org/officeDocument/2006/customXml" ds:itemID="{2718FA76-0F7D-4E01-80DD-5779E49C5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Robinson</dc:creator>
  <cp:lastModifiedBy>Helena Schulz</cp:lastModifiedBy>
  <cp:revision>4</cp:revision>
  <cp:lastPrinted>2016-03-14T11:57:00Z</cp:lastPrinted>
  <dcterms:created xsi:type="dcterms:W3CDTF">2016-03-15T16:27:00Z</dcterms:created>
  <dcterms:modified xsi:type="dcterms:W3CDTF">2016-03-17T09:29:00Z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