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396C" w14:textId="77777777" w:rsidR="006E6F6D" w:rsidRPr="002C7CF4" w:rsidRDefault="0046614B" w:rsidP="002C7CF4">
      <w:pPr>
        <w:pStyle w:val="CTQTitle"/>
      </w:pPr>
      <w:bookmarkStart w:id="0" w:name="_GoBack"/>
      <w:bookmarkEnd w:id="0"/>
      <w:r>
        <w:t xml:space="preserve">Center for Teaching Quality: </w:t>
      </w:r>
      <w:r w:rsidR="00AF6EA4">
        <w:t>Roadmap for Change</w:t>
      </w:r>
    </w:p>
    <w:p w14:paraId="295DAA85" w14:textId="77777777" w:rsidR="005E5E08" w:rsidRDefault="005E5E08" w:rsidP="00C6431B">
      <w:pPr>
        <w:rPr>
          <w:rFonts w:cs="Times"/>
          <w:sz w:val="20"/>
          <w:szCs w:val="20"/>
        </w:rPr>
      </w:pPr>
    </w:p>
    <w:p w14:paraId="09637255" w14:textId="77777777" w:rsidR="00F56B92" w:rsidRDefault="00DD6C4D" w:rsidP="00C6431B">
      <w:pPr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Preparing students to </w:t>
      </w:r>
      <w:r w:rsidRPr="0046614B">
        <w:rPr>
          <w:rFonts w:cs="Times"/>
          <w:sz w:val="20"/>
          <w:szCs w:val="20"/>
        </w:rPr>
        <w:t xml:space="preserve">succeed in the dynamic global economy </w:t>
      </w:r>
      <w:r w:rsidR="00855E33">
        <w:rPr>
          <w:rFonts w:cs="Times"/>
          <w:sz w:val="20"/>
          <w:szCs w:val="20"/>
        </w:rPr>
        <w:t xml:space="preserve">means ensuring they meet high academic standards as well as </w:t>
      </w:r>
      <w:r w:rsidR="002C7CF4">
        <w:rPr>
          <w:rFonts w:cs="Times"/>
          <w:sz w:val="20"/>
          <w:szCs w:val="20"/>
        </w:rPr>
        <w:t>develop top-notch critical thinking and problem solving skills.</w:t>
      </w:r>
      <w:r w:rsidR="00C6431B">
        <w:rPr>
          <w:rFonts w:cs="Times"/>
          <w:sz w:val="20"/>
          <w:szCs w:val="20"/>
        </w:rPr>
        <w:t xml:space="preserve"> </w:t>
      </w:r>
      <w:r w:rsidR="00596D7D">
        <w:rPr>
          <w:rFonts w:cs="Times"/>
          <w:sz w:val="20"/>
          <w:szCs w:val="20"/>
        </w:rPr>
        <w:t>Students, today and tomorrow,</w:t>
      </w:r>
      <w:r w:rsidR="00855E33">
        <w:rPr>
          <w:rFonts w:cs="Times"/>
          <w:sz w:val="20"/>
          <w:szCs w:val="20"/>
        </w:rPr>
        <w:t xml:space="preserve"> must show what they know and can do as well as communicate and collaborate with others. Their </w:t>
      </w:r>
      <w:r w:rsidR="00472D45">
        <w:rPr>
          <w:rFonts w:cs="Times"/>
          <w:sz w:val="20"/>
          <w:szCs w:val="20"/>
        </w:rPr>
        <w:t>learning experiences must be more personalized than ever, available 24/7</w:t>
      </w:r>
      <w:r w:rsidR="00CE3F92">
        <w:rPr>
          <w:rFonts w:cs="Times"/>
          <w:sz w:val="20"/>
          <w:szCs w:val="20"/>
        </w:rPr>
        <w:t>,</w:t>
      </w:r>
      <w:r w:rsidR="00472D45">
        <w:rPr>
          <w:rFonts w:cs="Times"/>
          <w:sz w:val="20"/>
          <w:szCs w:val="20"/>
        </w:rPr>
        <w:t xml:space="preserve"> and calibrated by expert teachers. </w:t>
      </w:r>
    </w:p>
    <w:p w14:paraId="4725DB54" w14:textId="77777777" w:rsidR="00F56B92" w:rsidRDefault="00F56B92" w:rsidP="00C6431B">
      <w:pPr>
        <w:rPr>
          <w:rFonts w:cs="Times"/>
          <w:sz w:val="20"/>
          <w:szCs w:val="20"/>
        </w:rPr>
      </w:pPr>
    </w:p>
    <w:p w14:paraId="125C050D" w14:textId="77777777" w:rsidR="00E01284" w:rsidRDefault="00F56B92" w:rsidP="00C6431B">
      <w:pPr>
        <w:rPr>
          <w:rFonts w:cs="Times"/>
          <w:sz w:val="20"/>
          <w:szCs w:val="20"/>
        </w:rPr>
      </w:pPr>
      <w:r w:rsidRPr="00E01284">
        <w:rPr>
          <w:rFonts w:cs="Times"/>
          <w:i/>
          <w:sz w:val="20"/>
          <w:szCs w:val="20"/>
        </w:rPr>
        <w:t>And</w:t>
      </w:r>
      <w:r>
        <w:rPr>
          <w:rFonts w:cs="Times"/>
          <w:sz w:val="20"/>
          <w:szCs w:val="20"/>
        </w:rPr>
        <w:t xml:space="preserve"> </w:t>
      </w:r>
      <w:r>
        <w:rPr>
          <w:rFonts w:cs="Times"/>
          <w:i/>
          <w:sz w:val="20"/>
          <w:szCs w:val="20"/>
        </w:rPr>
        <w:t>i</w:t>
      </w:r>
      <w:r w:rsidR="005E5E08" w:rsidRPr="00472D45">
        <w:rPr>
          <w:rFonts w:cs="Times"/>
          <w:i/>
          <w:sz w:val="20"/>
          <w:szCs w:val="20"/>
        </w:rPr>
        <w:t xml:space="preserve">f we want </w:t>
      </w:r>
      <w:r w:rsidR="005E5E08" w:rsidRPr="00472D45">
        <w:rPr>
          <w:rFonts w:cs="Times"/>
          <w:b/>
          <w:i/>
          <w:sz w:val="20"/>
          <w:szCs w:val="20"/>
        </w:rPr>
        <w:t>students</w:t>
      </w:r>
      <w:r w:rsidR="00A57637">
        <w:rPr>
          <w:rFonts w:cs="Times"/>
          <w:i/>
          <w:sz w:val="20"/>
          <w:szCs w:val="20"/>
        </w:rPr>
        <w:t xml:space="preserve"> to </w:t>
      </w:r>
      <w:r w:rsidR="00855E33">
        <w:rPr>
          <w:rFonts w:cs="Times"/>
          <w:i/>
          <w:sz w:val="20"/>
          <w:szCs w:val="20"/>
        </w:rPr>
        <w:t>learn and lead in new ways</w:t>
      </w:r>
      <w:r w:rsidR="005E5E08" w:rsidRPr="00472D45">
        <w:rPr>
          <w:rFonts w:cs="Times"/>
          <w:i/>
          <w:sz w:val="20"/>
          <w:szCs w:val="20"/>
        </w:rPr>
        <w:t xml:space="preserve">, it’s time for big changes in how their </w:t>
      </w:r>
      <w:r w:rsidR="005E5E08" w:rsidRPr="00472D45">
        <w:rPr>
          <w:rFonts w:cs="Times"/>
          <w:b/>
          <w:i/>
          <w:sz w:val="20"/>
          <w:szCs w:val="20"/>
        </w:rPr>
        <w:t>teachers</w:t>
      </w:r>
      <w:r w:rsidR="005E5E08" w:rsidRPr="00472D45">
        <w:rPr>
          <w:rFonts w:cs="Times"/>
          <w:i/>
          <w:sz w:val="20"/>
          <w:szCs w:val="20"/>
        </w:rPr>
        <w:t xml:space="preserve"> learn and lead.</w:t>
      </w:r>
      <w:r w:rsidR="005E5E08">
        <w:rPr>
          <w:rFonts w:cs="Times"/>
          <w:sz w:val="20"/>
          <w:szCs w:val="20"/>
        </w:rPr>
        <w:t xml:space="preserve"> </w:t>
      </w:r>
    </w:p>
    <w:p w14:paraId="6F3A8DE6" w14:textId="77777777" w:rsidR="00E01284" w:rsidRDefault="00E01284" w:rsidP="00C6431B">
      <w:pPr>
        <w:rPr>
          <w:rFonts w:cs="Times"/>
          <w:sz w:val="20"/>
          <w:szCs w:val="20"/>
        </w:rPr>
      </w:pPr>
    </w:p>
    <w:p w14:paraId="3462AA04" w14:textId="77777777" w:rsidR="00576AEB" w:rsidRDefault="00576AEB" w:rsidP="00C6431B">
      <w:pPr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>At the Center for Teaching Quality</w:t>
      </w:r>
      <w:r w:rsidR="00855E33">
        <w:rPr>
          <w:rFonts w:cs="Times"/>
          <w:sz w:val="20"/>
          <w:szCs w:val="20"/>
        </w:rPr>
        <w:t xml:space="preserve"> (CTQ)</w:t>
      </w:r>
      <w:r>
        <w:rPr>
          <w:rFonts w:cs="Times"/>
          <w:sz w:val="20"/>
          <w:szCs w:val="20"/>
        </w:rPr>
        <w:t xml:space="preserve">, we’re pioneering new ways for teachers to spread their ideas and expertise—and for schools to measure the impact of their leadership. </w:t>
      </w:r>
    </w:p>
    <w:p w14:paraId="48211FDD" w14:textId="77777777" w:rsidR="00C6431B" w:rsidRPr="005E5E08" w:rsidRDefault="00620AE5" w:rsidP="005E5E08">
      <w:pPr>
        <w:pStyle w:val="CTQH1"/>
      </w:pPr>
      <w:r>
        <w:t>Revolutionizing teachers’</w:t>
      </w:r>
      <w:r w:rsidR="00576AEB">
        <w:t xml:space="preserve"> professional learning</w:t>
      </w:r>
      <w:r w:rsidR="00C6431B">
        <w:rPr>
          <w:rFonts w:cs="Times"/>
          <w:sz w:val="20"/>
          <w:szCs w:val="20"/>
        </w:rPr>
        <w:tab/>
      </w:r>
    </w:p>
    <w:p w14:paraId="39D034E8" w14:textId="77777777" w:rsidR="00576AEB" w:rsidRDefault="00576AEB" w:rsidP="00C6431B">
      <w:pPr>
        <w:tabs>
          <w:tab w:val="left" w:pos="1030"/>
        </w:tabs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School structures and schedules tend to isolate teachers, who have little opportunity to collaborate or learn from one another. </w:t>
      </w:r>
      <w:r w:rsidR="00F56B92">
        <w:rPr>
          <w:rFonts w:cs="Times"/>
          <w:sz w:val="20"/>
          <w:szCs w:val="20"/>
        </w:rPr>
        <w:t>But what if teachers</w:t>
      </w:r>
      <w:r w:rsidR="00620AE5">
        <w:rPr>
          <w:rFonts w:cs="Times"/>
          <w:sz w:val="20"/>
          <w:szCs w:val="20"/>
        </w:rPr>
        <w:t xml:space="preserve"> could</w:t>
      </w:r>
      <w:r w:rsidR="00A57637">
        <w:rPr>
          <w:rFonts w:cs="Times"/>
          <w:sz w:val="20"/>
          <w:szCs w:val="20"/>
        </w:rPr>
        <w:t xml:space="preserve"> </w:t>
      </w:r>
      <w:r w:rsidR="00855E33">
        <w:rPr>
          <w:rFonts w:cs="Times"/>
          <w:sz w:val="20"/>
          <w:szCs w:val="20"/>
        </w:rPr>
        <w:t xml:space="preserve">take hold of their own </w:t>
      </w:r>
      <w:r w:rsidR="00A57637">
        <w:rPr>
          <w:rFonts w:cs="Times"/>
          <w:sz w:val="20"/>
          <w:szCs w:val="20"/>
        </w:rPr>
        <w:t xml:space="preserve">learning and make it count for the specific students they teach every day? </w:t>
      </w:r>
    </w:p>
    <w:p w14:paraId="038A7709" w14:textId="77777777" w:rsidR="00576AEB" w:rsidRDefault="00576AEB" w:rsidP="00C6431B">
      <w:pPr>
        <w:tabs>
          <w:tab w:val="left" w:pos="1030"/>
        </w:tabs>
        <w:rPr>
          <w:rFonts w:cs="Times"/>
          <w:sz w:val="20"/>
          <w:szCs w:val="20"/>
        </w:rPr>
      </w:pPr>
    </w:p>
    <w:p w14:paraId="72054412" w14:textId="77777777" w:rsidR="00620AE5" w:rsidRPr="00855E33" w:rsidRDefault="00855E33" w:rsidP="00855E33">
      <w:pPr>
        <w:tabs>
          <w:tab w:val="left" w:pos="1030"/>
        </w:tabs>
        <w:rPr>
          <w:rFonts w:cs="Times"/>
          <w:sz w:val="20"/>
          <w:szCs w:val="20"/>
        </w:rPr>
      </w:pPr>
      <w:r>
        <w:rPr>
          <w:rFonts w:cs="Times"/>
          <w:sz w:val="20"/>
          <w:szCs w:val="20"/>
        </w:rPr>
        <w:t xml:space="preserve">As one of three strategies to revolutionize the teaching profession, CTQ </w:t>
      </w:r>
      <w:r w:rsidR="00576AEB">
        <w:rPr>
          <w:rFonts w:cs="Times"/>
          <w:sz w:val="20"/>
          <w:szCs w:val="20"/>
        </w:rPr>
        <w:t>is partnering with Digital Pro</w:t>
      </w:r>
      <w:r w:rsidR="001D671E">
        <w:rPr>
          <w:rFonts w:cs="Times"/>
          <w:sz w:val="20"/>
          <w:szCs w:val="20"/>
        </w:rPr>
        <w:t>mise to pilot a system of micro-credentials that</w:t>
      </w:r>
      <w:r w:rsidR="00576AEB">
        <w:rPr>
          <w:rFonts w:cs="Times"/>
          <w:sz w:val="20"/>
          <w:szCs w:val="20"/>
        </w:rPr>
        <w:t xml:space="preserve"> allow for competency-based, perso</w:t>
      </w:r>
      <w:r w:rsidR="00CE3F92">
        <w:rPr>
          <w:rFonts w:cs="Times"/>
          <w:sz w:val="20"/>
          <w:szCs w:val="20"/>
        </w:rPr>
        <w:t xml:space="preserve">nalized teacher learning. </w:t>
      </w:r>
      <w:r w:rsidR="001D671E">
        <w:rPr>
          <w:rFonts w:cs="Times"/>
          <w:sz w:val="20"/>
          <w:szCs w:val="20"/>
        </w:rPr>
        <w:t>With CTQ support, teacher leaders are</w:t>
      </w:r>
      <w:r>
        <w:rPr>
          <w:rFonts w:cs="Times"/>
          <w:sz w:val="20"/>
          <w:szCs w:val="20"/>
        </w:rPr>
        <w:t xml:space="preserve"> </w:t>
      </w:r>
      <w:r w:rsidR="00620AE5" w:rsidRPr="00855E33">
        <w:rPr>
          <w:rFonts w:cs="Times"/>
          <w:sz w:val="20"/>
          <w:szCs w:val="20"/>
        </w:rPr>
        <w:t>creating new micro-credenti</w:t>
      </w:r>
      <w:r w:rsidRPr="00855E33">
        <w:rPr>
          <w:rFonts w:cs="Times"/>
          <w:sz w:val="20"/>
          <w:szCs w:val="20"/>
        </w:rPr>
        <w:t>als that spell out what they</w:t>
      </w:r>
      <w:r w:rsidR="00620AE5" w:rsidRPr="00855E33">
        <w:rPr>
          <w:rFonts w:cs="Times"/>
          <w:sz w:val="20"/>
          <w:szCs w:val="20"/>
        </w:rPr>
        <w:t xml:space="preserve"> should know and be able to do</w:t>
      </w:r>
      <w:r>
        <w:rPr>
          <w:rFonts w:cs="Times"/>
          <w:sz w:val="20"/>
          <w:szCs w:val="20"/>
        </w:rPr>
        <w:t xml:space="preserve">, </w:t>
      </w:r>
      <w:r w:rsidR="001D671E" w:rsidRPr="00855E33">
        <w:rPr>
          <w:rFonts w:cs="Times"/>
          <w:sz w:val="20"/>
          <w:szCs w:val="20"/>
        </w:rPr>
        <w:t>submitting evi</w:t>
      </w:r>
      <w:r w:rsidR="00620AE5" w:rsidRPr="00855E33">
        <w:rPr>
          <w:rFonts w:cs="Times"/>
          <w:sz w:val="20"/>
          <w:szCs w:val="20"/>
        </w:rPr>
        <w:t>dence of their own</w:t>
      </w:r>
      <w:r w:rsidR="00F56B92" w:rsidRPr="00855E33">
        <w:rPr>
          <w:rFonts w:cs="Times"/>
          <w:sz w:val="20"/>
          <w:szCs w:val="20"/>
        </w:rPr>
        <w:t xml:space="preserve"> growth and</w:t>
      </w:r>
      <w:r w:rsidR="00620AE5" w:rsidRPr="00855E33">
        <w:rPr>
          <w:rFonts w:cs="Times"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 xml:space="preserve">leadership as well </w:t>
      </w:r>
      <w:r w:rsidR="00CE3F92">
        <w:rPr>
          <w:rFonts w:cs="Times"/>
          <w:sz w:val="20"/>
          <w:szCs w:val="20"/>
        </w:rPr>
        <w:t xml:space="preserve">as that </w:t>
      </w:r>
      <w:r>
        <w:rPr>
          <w:rFonts w:cs="Times"/>
          <w:sz w:val="20"/>
          <w:szCs w:val="20"/>
        </w:rPr>
        <w:t>of their colleagues.</w:t>
      </w:r>
    </w:p>
    <w:p w14:paraId="4F116265" w14:textId="77777777" w:rsidR="00E51745" w:rsidRDefault="00620AE5" w:rsidP="00620AE5">
      <w:pPr>
        <w:pStyle w:val="CTQH1"/>
      </w:pPr>
      <w:r>
        <w:t>Measuring teacher leaders’ impact</w:t>
      </w:r>
    </w:p>
    <w:p w14:paraId="68F8A045" w14:textId="77777777" w:rsidR="00F56B92" w:rsidRDefault="00620AE5" w:rsidP="0046614B">
      <w:pPr>
        <w:rPr>
          <w:sz w:val="20"/>
          <w:szCs w:val="20"/>
        </w:rPr>
      </w:pPr>
      <w:r>
        <w:rPr>
          <w:sz w:val="20"/>
          <w:szCs w:val="20"/>
        </w:rPr>
        <w:t>We believe that teachers can make a significant difference in transforming public education and their own profession.</w:t>
      </w:r>
      <w:r w:rsidR="00A67B68">
        <w:rPr>
          <w:sz w:val="20"/>
          <w:szCs w:val="20"/>
        </w:rPr>
        <w:t xml:space="preserve"> That’s why, since the late 1990s, CTQ has cultivated teacher leaders to incubate and execute their ideas about better serving students. </w:t>
      </w:r>
    </w:p>
    <w:p w14:paraId="25296045" w14:textId="77777777" w:rsidR="00F56B92" w:rsidRDefault="00F56B92" w:rsidP="0046614B">
      <w:pPr>
        <w:rPr>
          <w:sz w:val="20"/>
          <w:szCs w:val="20"/>
        </w:rPr>
      </w:pPr>
    </w:p>
    <w:p w14:paraId="3F5EEB71" w14:textId="77777777" w:rsidR="00F56B92" w:rsidRDefault="00A67B68" w:rsidP="0046614B">
      <w:pPr>
        <w:rPr>
          <w:sz w:val="20"/>
          <w:szCs w:val="20"/>
        </w:rPr>
      </w:pPr>
      <w:r>
        <w:rPr>
          <w:sz w:val="20"/>
          <w:szCs w:val="20"/>
        </w:rPr>
        <w:t xml:space="preserve">As a small nonprofit, we have road-tested innovative, research-based ways to organize and fuel teachers’ learning and leadership, including virtual communities, hybrid roles, and new school models. </w:t>
      </w:r>
    </w:p>
    <w:p w14:paraId="377B269E" w14:textId="77777777" w:rsidR="00F56B92" w:rsidRDefault="00F56B92" w:rsidP="0046614B">
      <w:pPr>
        <w:rPr>
          <w:sz w:val="20"/>
          <w:szCs w:val="20"/>
        </w:rPr>
      </w:pPr>
    </w:p>
    <w:p w14:paraId="0A8549B4" w14:textId="77777777" w:rsidR="00F56B92" w:rsidRDefault="00A67B68" w:rsidP="0046614B">
      <w:pPr>
        <w:rPr>
          <w:sz w:val="20"/>
          <w:szCs w:val="20"/>
        </w:rPr>
      </w:pPr>
      <w:r>
        <w:rPr>
          <w:sz w:val="20"/>
          <w:szCs w:val="20"/>
        </w:rPr>
        <w:t>Now we’re</w:t>
      </w:r>
      <w:r w:rsidR="00F56B92">
        <w:rPr>
          <w:sz w:val="20"/>
          <w:szCs w:val="20"/>
        </w:rPr>
        <w:t xml:space="preserve"> developing tools that help</w:t>
      </w:r>
      <w:r>
        <w:rPr>
          <w:sz w:val="20"/>
          <w:szCs w:val="20"/>
        </w:rPr>
        <w:t xml:space="preserve"> </w:t>
      </w:r>
      <w:r w:rsidR="00F56B92">
        <w:rPr>
          <w:sz w:val="20"/>
          <w:szCs w:val="20"/>
        </w:rPr>
        <w:t xml:space="preserve">school systems do the same: </w:t>
      </w:r>
    </w:p>
    <w:p w14:paraId="36692AC0" w14:textId="77777777" w:rsidR="0039136E" w:rsidRDefault="00F56B92" w:rsidP="00CE3F92">
      <w:pPr>
        <w:pStyle w:val="CTQBulletLevel1"/>
      </w:pPr>
      <w:r>
        <w:t xml:space="preserve">assessing their capacity to </w:t>
      </w:r>
      <w:r w:rsidR="0039136E" w:rsidRPr="00F56B92">
        <w:t>support teachers and administrators working together in spreading eff</w:t>
      </w:r>
      <w:r>
        <w:t xml:space="preserve">ective teaching practices; </w:t>
      </w:r>
    </w:p>
    <w:p w14:paraId="7B99CF9A" w14:textId="77777777" w:rsidR="00F56B92" w:rsidRDefault="00F56B92" w:rsidP="00CE3F92">
      <w:pPr>
        <w:pStyle w:val="CTQBulletLevel1"/>
      </w:pPr>
      <w:r>
        <w:t xml:space="preserve">identifying and maximizing potential teacher leaders; and </w:t>
      </w:r>
    </w:p>
    <w:p w14:paraId="56BE4E91" w14:textId="77777777" w:rsidR="00F56B92" w:rsidRDefault="00F56B92" w:rsidP="00CE3F92">
      <w:pPr>
        <w:pStyle w:val="CTQBulletLevel1"/>
      </w:pPr>
      <w:r>
        <w:t>gauging the impact of teacher leaders on their st</w:t>
      </w:r>
      <w:r w:rsidR="00CE3F92">
        <w:t>udents, colleagues, and schools.</w:t>
      </w:r>
      <w:r>
        <w:t xml:space="preserve"> </w:t>
      </w:r>
    </w:p>
    <w:p w14:paraId="5DD8E1D2" w14:textId="77777777" w:rsidR="00FD79ED" w:rsidRPr="0039136E" w:rsidRDefault="00FD79ED" w:rsidP="0039136E">
      <w:pPr>
        <w:pStyle w:val="ListParagraph"/>
        <w:rPr>
          <w:sz w:val="20"/>
          <w:szCs w:val="20"/>
        </w:rPr>
      </w:pPr>
    </w:p>
    <w:p w14:paraId="645C2AA0" w14:textId="77777777" w:rsidR="00300594" w:rsidRDefault="0039136E" w:rsidP="00AF6EA4">
      <w:pPr>
        <w:pStyle w:val="CTQBody"/>
      </w:pPr>
      <w:r>
        <w:rPr>
          <w:rFonts w:asciiTheme="minorHAnsi" w:hAnsiTheme="minorHAnsi" w:cstheme="minorBidi"/>
        </w:rPr>
        <w:t xml:space="preserve">Recent polling data reveal that </w:t>
      </w:r>
      <w:r w:rsidR="00AF6EA4" w:rsidRPr="00EC35F3">
        <w:t>23% of</w:t>
      </w:r>
      <w:r>
        <w:t xml:space="preserve"> America’s</w:t>
      </w:r>
      <w:r w:rsidR="00AF6EA4" w:rsidRPr="00EC35F3">
        <w:t xml:space="preserve"> teachers are very interested in combining teaching with significa</w:t>
      </w:r>
      <w:r>
        <w:t xml:space="preserve">nt leadership </w:t>
      </w:r>
      <w:r w:rsidR="00D23BBE">
        <w:t xml:space="preserve">responsibilities. </w:t>
      </w:r>
      <w:r w:rsidR="00F56B92">
        <w:t>It is time to invite teachers to take ownership of th</w:t>
      </w:r>
      <w:r w:rsidR="00855E33">
        <w:t>eir profession—and its results for students.</w:t>
      </w:r>
    </w:p>
    <w:sectPr w:rsidR="00300594" w:rsidSect="00CD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50EDC" w14:textId="77777777" w:rsidR="00DD59AC" w:rsidRDefault="00DD59AC" w:rsidP="00392E0D">
      <w:r>
        <w:separator/>
      </w:r>
    </w:p>
    <w:p w14:paraId="0BF7EAE9" w14:textId="77777777" w:rsidR="00DD59AC" w:rsidRDefault="00DD59AC"/>
  </w:endnote>
  <w:endnote w:type="continuationSeparator" w:id="0">
    <w:p w14:paraId="129EDB64" w14:textId="77777777" w:rsidR="00DD59AC" w:rsidRDefault="00DD59AC" w:rsidP="00392E0D">
      <w:r>
        <w:continuationSeparator/>
      </w:r>
    </w:p>
    <w:p w14:paraId="735342EC" w14:textId="77777777" w:rsidR="00DD59AC" w:rsidRDefault="00DD5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D9AA" w14:textId="77777777" w:rsidR="00E01284" w:rsidRDefault="00E01284" w:rsidP="00B32235">
    <w:pPr>
      <w:pStyle w:val="Footer"/>
      <w:ind w:right="360"/>
    </w:pPr>
    <w:r>
      <w:rPr>
        <w:noProof/>
      </w:rPr>
      <w:drawing>
        <wp:anchor distT="0" distB="0" distL="114300" distR="114300" simplePos="0" relativeHeight="251679744" behindDoc="1" locked="1" layoutInCell="1" allowOverlap="1" wp14:anchorId="20B3BCBE" wp14:editId="2A5C8863">
          <wp:simplePos x="0" y="0"/>
          <wp:positionH relativeFrom="page">
            <wp:posOffset>0</wp:posOffset>
          </wp:positionH>
          <wp:positionV relativeFrom="paragraph">
            <wp:posOffset>59055</wp:posOffset>
          </wp:positionV>
          <wp:extent cx="7772400" cy="755650"/>
          <wp:effectExtent l="0" t="0" r="0" b="6350"/>
          <wp:wrapNone/>
          <wp:docPr id="5" name="Picture 5" descr="ctq_media:Products / Design Drafts:word templates:template2_EVENPA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tq_media:Products / Design Drafts:word templates:template2_EVENPA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63CE8" w14:textId="77777777" w:rsidR="00E01284" w:rsidRPr="00B7590A" w:rsidRDefault="00E01284" w:rsidP="00BC2EAE">
    <w:pPr>
      <w:pStyle w:val="Footer"/>
      <w:framePr w:wrap="around" w:vAnchor="page" w:hAnchor="page" w:x="1023" w:y="15135" w:anchorLock="1"/>
      <w:rPr>
        <w:rStyle w:val="PageNumber"/>
        <w:rFonts w:ascii="Tahoma" w:hAnsi="Tahoma" w:cs="Tahoma"/>
        <w:b/>
        <w:color w:val="FFFFFF" w:themeColor="background1"/>
      </w:rPr>
    </w:pPr>
    <w:r w:rsidRPr="00B7590A">
      <w:rPr>
        <w:rStyle w:val="PageNumber"/>
        <w:rFonts w:ascii="Tahoma" w:hAnsi="Tahoma" w:cs="Tahoma"/>
        <w:b/>
        <w:color w:val="FFFFFF" w:themeColor="background1"/>
      </w:rPr>
      <w:fldChar w:fldCharType="begin"/>
    </w:r>
    <w:r w:rsidRPr="00B7590A">
      <w:rPr>
        <w:rStyle w:val="PageNumber"/>
        <w:rFonts w:ascii="Tahoma" w:hAnsi="Tahoma" w:cs="Tahoma"/>
        <w:b/>
        <w:color w:val="FFFFFF" w:themeColor="background1"/>
      </w:rPr>
      <w:instrText xml:space="preserve">PAGE  </w:instrText>
    </w:r>
    <w:r w:rsidRPr="00B7590A">
      <w:rPr>
        <w:rStyle w:val="PageNumber"/>
        <w:rFonts w:ascii="Tahoma" w:hAnsi="Tahoma" w:cs="Tahoma"/>
        <w:b/>
        <w:color w:val="FFFFFF" w:themeColor="background1"/>
      </w:rPr>
      <w:fldChar w:fldCharType="separate"/>
    </w:r>
    <w:r w:rsidR="00855E33">
      <w:rPr>
        <w:rStyle w:val="PageNumber"/>
        <w:rFonts w:ascii="Tahoma" w:hAnsi="Tahoma" w:cs="Tahoma"/>
        <w:b/>
        <w:noProof/>
        <w:color w:val="FFFFFF" w:themeColor="background1"/>
      </w:rPr>
      <w:t>2</w:t>
    </w:r>
    <w:r w:rsidRPr="00B7590A">
      <w:rPr>
        <w:rStyle w:val="PageNumber"/>
        <w:rFonts w:ascii="Tahoma" w:hAnsi="Tahoma" w:cs="Tahoma"/>
        <w:b/>
        <w:color w:val="FFFFFF" w:themeColor="background1"/>
      </w:rPr>
      <w:fldChar w:fldCharType="end"/>
    </w:r>
  </w:p>
  <w:p w14:paraId="508B4435" w14:textId="77777777" w:rsidR="00E01284" w:rsidRDefault="00E0128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758A" w14:textId="77777777" w:rsidR="00E01284" w:rsidRDefault="00E01284" w:rsidP="00B32235">
    <w:pPr>
      <w:pStyle w:val="Footer"/>
      <w:ind w:right="360"/>
    </w:pPr>
    <w:r>
      <w:rPr>
        <w:noProof/>
      </w:rPr>
      <w:drawing>
        <wp:anchor distT="0" distB="0" distL="114300" distR="114300" simplePos="0" relativeHeight="251680768" behindDoc="1" locked="1" layoutInCell="1" allowOverlap="1" wp14:anchorId="3AE8FCC1" wp14:editId="17355A32">
          <wp:simplePos x="0" y="0"/>
          <wp:positionH relativeFrom="page">
            <wp:posOffset>0</wp:posOffset>
          </wp:positionH>
          <wp:positionV relativeFrom="paragraph">
            <wp:posOffset>48895</wp:posOffset>
          </wp:positionV>
          <wp:extent cx="7772400" cy="770255"/>
          <wp:effectExtent l="0" t="0" r="0" b="0"/>
          <wp:wrapNone/>
          <wp:docPr id="7" name="Picture 7" descr="ctq_media:Products / Design Drafts:word templates:template2_PAGE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ctq_media:Products / Design Drafts:word templates:template2_PAGE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4FF9B" w14:textId="77777777" w:rsidR="00E01284" w:rsidRPr="00BC2EAE" w:rsidRDefault="00E01284" w:rsidP="00BC2EAE">
    <w:pPr>
      <w:pStyle w:val="Footer"/>
      <w:framePr w:wrap="around" w:vAnchor="page" w:hAnchor="page" w:x="11039" w:y="15121" w:anchorLock="1"/>
      <w:rPr>
        <w:rStyle w:val="PageNumber"/>
        <w:rFonts w:ascii="Tahoma" w:hAnsi="Tahoma" w:cs="Tahoma"/>
        <w:b/>
        <w:color w:val="FFFFFF" w:themeColor="background1"/>
      </w:rPr>
    </w:pPr>
    <w:r w:rsidRPr="00BC2EAE">
      <w:rPr>
        <w:rStyle w:val="PageNumber"/>
        <w:rFonts w:ascii="Tahoma" w:hAnsi="Tahoma" w:cs="Tahoma"/>
        <w:b/>
        <w:color w:val="FFFFFF" w:themeColor="background1"/>
      </w:rPr>
      <w:fldChar w:fldCharType="begin"/>
    </w:r>
    <w:r w:rsidRPr="00BC2EAE">
      <w:rPr>
        <w:rStyle w:val="PageNumber"/>
        <w:rFonts w:ascii="Tahoma" w:hAnsi="Tahoma" w:cs="Tahoma"/>
        <w:b/>
        <w:color w:val="FFFFFF" w:themeColor="background1"/>
      </w:rPr>
      <w:instrText xml:space="preserve">PAGE  </w:instrText>
    </w:r>
    <w:r w:rsidRPr="00BC2EAE">
      <w:rPr>
        <w:rStyle w:val="PageNumber"/>
        <w:rFonts w:ascii="Tahoma" w:hAnsi="Tahoma" w:cs="Tahoma"/>
        <w:b/>
        <w:color w:val="FFFFFF" w:themeColor="background1"/>
      </w:rPr>
      <w:fldChar w:fldCharType="separate"/>
    </w:r>
    <w:r>
      <w:rPr>
        <w:rStyle w:val="PageNumber"/>
        <w:rFonts w:ascii="Tahoma" w:hAnsi="Tahoma" w:cs="Tahoma"/>
        <w:b/>
        <w:noProof/>
        <w:color w:val="FFFFFF" w:themeColor="background1"/>
      </w:rPr>
      <w:t>3</w:t>
    </w:r>
    <w:r w:rsidRPr="00BC2EAE">
      <w:rPr>
        <w:rStyle w:val="PageNumber"/>
        <w:rFonts w:ascii="Tahoma" w:hAnsi="Tahoma" w:cs="Tahoma"/>
        <w:b/>
        <w:color w:val="FFFFFF" w:themeColor="background1"/>
      </w:rPr>
      <w:fldChar w:fldCharType="end"/>
    </w:r>
  </w:p>
  <w:p w14:paraId="1B4EBA4C" w14:textId="77777777" w:rsidR="00E01284" w:rsidRDefault="00E0128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7438" w14:textId="77777777" w:rsidR="00E01284" w:rsidRDefault="00E01284">
    <w:pPr>
      <w:pStyle w:val="Footer"/>
    </w:pPr>
    <w:r>
      <w:rPr>
        <w:noProof/>
      </w:rPr>
      <w:drawing>
        <wp:anchor distT="0" distB="0" distL="114300" distR="114300" simplePos="0" relativeHeight="251678720" behindDoc="1" locked="1" layoutInCell="1" allowOverlap="1" wp14:anchorId="5924EBBE" wp14:editId="7874CD5C">
          <wp:simplePos x="0" y="0"/>
          <wp:positionH relativeFrom="page">
            <wp:posOffset>0</wp:posOffset>
          </wp:positionH>
          <wp:positionV relativeFrom="page">
            <wp:posOffset>9380220</wp:posOffset>
          </wp:positionV>
          <wp:extent cx="7772400" cy="680720"/>
          <wp:effectExtent l="0" t="0" r="0" b="5080"/>
          <wp:wrapNone/>
          <wp:docPr id="11" name="Picture 11" descr="ctq_media:Products / Design Drafts:word templates:template1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tq_media:Products / Design Drafts:word templates:template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21A6B" w14:textId="77777777" w:rsidR="00DD59AC" w:rsidRDefault="00DD59AC" w:rsidP="00392E0D">
      <w:r>
        <w:separator/>
      </w:r>
    </w:p>
    <w:p w14:paraId="3ADC5DED" w14:textId="77777777" w:rsidR="00DD59AC" w:rsidRDefault="00DD59AC"/>
  </w:footnote>
  <w:footnote w:type="continuationSeparator" w:id="0">
    <w:p w14:paraId="74FC4E52" w14:textId="77777777" w:rsidR="00DD59AC" w:rsidRDefault="00DD59AC" w:rsidP="00392E0D">
      <w:r>
        <w:continuationSeparator/>
      </w:r>
    </w:p>
    <w:p w14:paraId="0E559C19" w14:textId="77777777" w:rsidR="00DD59AC" w:rsidRDefault="00DD59A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7EDFD" w14:textId="77777777" w:rsidR="00E01284" w:rsidRDefault="00E01284">
    <w:pPr>
      <w:pStyle w:val="Header"/>
    </w:pPr>
    <w:r>
      <w:rPr>
        <w:noProof/>
      </w:rPr>
      <w:drawing>
        <wp:anchor distT="0" distB="0" distL="114300" distR="114300" simplePos="0" relativeHeight="251677696" behindDoc="1" locked="1" layoutInCell="1" allowOverlap="1" wp14:anchorId="5B7C4C5E" wp14:editId="4A8A96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30031"/>
          <wp:effectExtent l="0" t="0" r="0" b="10160"/>
          <wp:wrapNone/>
          <wp:docPr id="10" name="Picture 10" descr="ctq_media:Products / Design Drafts:word templates:template2_PAGE2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tq_media:Products / Design Drafts:word templates:template2_PAGE2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9C8BD" w14:textId="77777777" w:rsidR="00E01284" w:rsidRDefault="00E01284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41C727F6" wp14:editId="1054CF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30031"/>
          <wp:effectExtent l="0" t="0" r="0" b="10160"/>
          <wp:wrapNone/>
          <wp:docPr id="6" name="Picture 6" descr="ctq_media:Products / Design Drafts:word templates:template2_PAGE2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tq_media:Products / Design Drafts:word templates:template2_PAGE2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6EA3B" w14:textId="77777777" w:rsidR="00E01284" w:rsidRPr="003D226C" w:rsidRDefault="00E01284">
    <w:pPr>
      <w:rPr>
        <w:vertAlign w:val="subscript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C71E" w14:textId="77777777" w:rsidR="00E01284" w:rsidRDefault="00E01284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4D20115" wp14:editId="378089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3105638"/>
          <wp:effectExtent l="0" t="0" r="0" b="0"/>
          <wp:wrapNone/>
          <wp:docPr id="1" name="Picture 1" descr="ctq_media:Products / Design Drafts:word templates:template1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q_media:Products / Design Drafts:word templates:template1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10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2.3pt;height:88pt" o:bullet="t">
        <v:imagedata r:id="rId1" o:title="Bullet3-75"/>
      </v:shape>
    </w:pict>
  </w:numPicBullet>
  <w:numPicBullet w:numPicBulletId="1">
    <w:pict>
      <v:shape id="_x0000_i1050" type="#_x0000_t75" style="width:89.85pt;height:88pt" o:bullet="t">
        <v:imagedata r:id="rId2" o:title="Bullet1-75"/>
      </v:shape>
    </w:pict>
  </w:numPicBullet>
  <w:numPicBullet w:numPicBulletId="2">
    <w:pict>
      <v:shape id="_x0000_i1051" type="#_x0000_t75" style="width:92.3pt;height:88pt" o:bullet="t">
        <v:imagedata r:id="rId3" o:title="Bullet4"/>
      </v:shape>
    </w:pict>
  </w:numPicBullet>
  <w:numPicBullet w:numPicBulletId="3">
    <w:pict>
      <v:shape id="_x0000_i1052" type="#_x0000_t75" style="width:92.3pt;height:88pt" o:bullet="t">
        <v:imagedata r:id="rId4" o:title="Bullet2-75"/>
      </v:shape>
    </w:pict>
  </w:numPicBullet>
  <w:numPicBullet w:numPicBulletId="4">
    <w:pict>
      <v:shape id="_x0000_i1053" type="#_x0000_t75" style="width:96pt;height:96pt" o:bullet="t">
        <v:imagedata r:id="rId5" o:title="greenbullet"/>
      </v:shape>
    </w:pict>
  </w:numPicBullet>
  <w:numPicBullet w:numPicBulletId="5">
    <w:pict>
      <v:shape id="_x0000_i1054" type="#_x0000_t75" style="width:73.85pt;height:73.85pt" o:bullet="t">
        <v:imagedata r:id="rId6" o:title="redbullet"/>
      </v:shape>
    </w:pict>
  </w:numPicBullet>
  <w:numPicBullet w:numPicBulletId="6">
    <w:pict>
      <v:shape id="_x0000_i1055" type="#_x0000_t75" style="width:83.1pt;height:83.1pt" o:bullet="t">
        <v:imagedata r:id="rId7" o:title="bluebullet"/>
      </v:shape>
    </w:pict>
  </w:numPicBullet>
  <w:numPicBullet w:numPicBulletId="7">
    <w:pict>
      <v:shape id="_x0000_i1056" type="#_x0000_t75" style="width:96pt;height:96pt" o:bullet="t">
        <v:imagedata r:id="rId8" o:title="greenbullet"/>
      </v:shape>
    </w:pict>
  </w:numPicBullet>
  <w:numPicBullet w:numPicBulletId="8">
    <w:pict>
      <v:shape id="_x0000_i1057" type="#_x0000_t75" style="width:73.85pt;height:73.85pt" o:bullet="t">
        <v:imagedata r:id="rId9" o:title="redbullet"/>
      </v:shape>
    </w:pict>
  </w:numPicBullet>
  <w:numPicBullet w:numPicBulletId="9">
    <w:pict>
      <v:shape id="_x0000_i1058" type="#_x0000_t75" style="width:83.1pt;height:83.1pt" o:bullet="t">
        <v:imagedata r:id="rId10" o:title="bluebullet"/>
      </v:shape>
    </w:pict>
  </w:numPicBullet>
  <w:numPicBullet w:numPicBulletId="10">
    <w:pict>
      <v:shape id="_x0000_i1059" type="#_x0000_t75" style="width:96pt;height:96pt" o:bullet="t">
        <v:imagedata r:id="rId11" o:title="greenbullet"/>
      </v:shape>
    </w:pict>
  </w:numPicBullet>
  <w:numPicBullet w:numPicBulletId="11">
    <w:pict>
      <v:shape id="_x0000_i1060" type="#_x0000_t75" style="width:96pt;height:96pt" o:bullet="t">
        <v:imagedata r:id="rId12" o:title="greenbullet"/>
      </v:shape>
    </w:pict>
  </w:numPicBullet>
  <w:numPicBullet w:numPicBulletId="12">
    <w:pict>
      <v:shape id="_x0000_i1061" type="#_x0000_t75" style="width:83.1pt;height:83.1pt" o:bullet="t">
        <v:imagedata r:id="rId13" o:title="bluebullet"/>
      </v:shape>
    </w:pict>
  </w:numPicBullet>
  <w:numPicBullet w:numPicBulletId="13">
    <w:pict>
      <v:shape id="_x0000_i1062" type="#_x0000_t75" style="width:73.85pt;height:73.85pt" o:bullet="t">
        <v:imagedata r:id="rId14" o:title="redbullet"/>
      </v:shape>
    </w:pict>
  </w:numPicBullet>
  <w:numPicBullet w:numPicBulletId="14">
    <w:pict>
      <v:shape id="_x0000_i1063" type="#_x0000_t75" style="width:83.1pt;height:83.1pt" o:bullet="t">
        <v:imagedata r:id="rId15" o:title="bluebullet"/>
      </v:shape>
    </w:pict>
  </w:numPicBullet>
  <w:numPicBullet w:numPicBulletId="15">
    <w:pict>
      <v:shape id="_x0000_i1064" type="#_x0000_t75" style="width:73.85pt;height:73.85pt" o:bullet="t">
        <v:imagedata r:id="rId16" o:title="redbullet"/>
      </v:shape>
    </w:pict>
  </w:numPicBullet>
  <w:abstractNum w:abstractNumId="0">
    <w:nsid w:val="FFFFFF1D"/>
    <w:multiLevelType w:val="multilevel"/>
    <w:tmpl w:val="D3D8A4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86EA1"/>
    <w:multiLevelType w:val="hybridMultilevel"/>
    <w:tmpl w:val="FD821018"/>
    <w:lvl w:ilvl="0" w:tplc="A8045468">
      <w:start w:val="1"/>
      <w:numFmt w:val="bullet"/>
      <w:pStyle w:val="CTQBulletLevel3"/>
      <w:lvlText w:val=""/>
      <w:lvlPicBulletId w:val="13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1E2"/>
    <w:multiLevelType w:val="hybridMultilevel"/>
    <w:tmpl w:val="1FF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F29FC"/>
    <w:multiLevelType w:val="hybridMultilevel"/>
    <w:tmpl w:val="A6105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137E4"/>
    <w:multiLevelType w:val="hybridMultilevel"/>
    <w:tmpl w:val="B042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4F75"/>
    <w:multiLevelType w:val="hybridMultilevel"/>
    <w:tmpl w:val="9996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2573"/>
    <w:multiLevelType w:val="multilevel"/>
    <w:tmpl w:val="907EA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F6FC8"/>
    <w:multiLevelType w:val="hybridMultilevel"/>
    <w:tmpl w:val="F82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9768E"/>
    <w:multiLevelType w:val="multilevel"/>
    <w:tmpl w:val="F82EB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E532C"/>
    <w:multiLevelType w:val="hybridMultilevel"/>
    <w:tmpl w:val="DDDE07E0"/>
    <w:lvl w:ilvl="0" w:tplc="97005592">
      <w:start w:val="1"/>
      <w:numFmt w:val="bullet"/>
      <w:pStyle w:val="CTQBulletLevel2"/>
      <w:lvlText w:val=""/>
      <w:lvlPicBulletId w:val="12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D21EE"/>
    <w:multiLevelType w:val="hybridMultilevel"/>
    <w:tmpl w:val="7BA2720E"/>
    <w:lvl w:ilvl="0" w:tplc="E180AF84">
      <w:start w:val="1"/>
      <w:numFmt w:val="bullet"/>
      <w:pStyle w:val="CTQBulletLevel1"/>
      <w:lvlText w:val=""/>
      <w:lvlPicBulletId w:val="1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640"/>
    <w:multiLevelType w:val="multilevel"/>
    <w:tmpl w:val="F82EB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827C5"/>
    <w:multiLevelType w:val="hybridMultilevel"/>
    <w:tmpl w:val="FB3EFB10"/>
    <w:lvl w:ilvl="0" w:tplc="27869774">
      <w:start w:val="1"/>
      <w:numFmt w:val="bullet"/>
      <w:lvlText w:val=""/>
      <w:lvlPicBulletId w:val="6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01B0F"/>
    <w:multiLevelType w:val="multilevel"/>
    <w:tmpl w:val="F82EB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A1473"/>
    <w:multiLevelType w:val="hybridMultilevel"/>
    <w:tmpl w:val="49D4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076E"/>
    <w:multiLevelType w:val="hybridMultilevel"/>
    <w:tmpl w:val="6E30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97398"/>
    <w:multiLevelType w:val="multilevel"/>
    <w:tmpl w:val="9E84A7D6"/>
    <w:lvl w:ilvl="0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464F2"/>
    <w:multiLevelType w:val="multilevel"/>
    <w:tmpl w:val="24229FAA"/>
    <w:lvl w:ilvl="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4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15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67346"/>
    <w:multiLevelType w:val="multilevel"/>
    <w:tmpl w:val="E3143B2E"/>
    <w:lvl w:ilvl="0">
      <w:start w:val="1"/>
      <w:numFmt w:val="bullet"/>
      <w:lvlText w:val=""/>
      <w:lvlPicBulletId w:val="13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7315B"/>
    <w:multiLevelType w:val="hybridMultilevel"/>
    <w:tmpl w:val="62EEB2CE"/>
    <w:lvl w:ilvl="0" w:tplc="C58C3568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B1F75"/>
    <w:multiLevelType w:val="multilevel"/>
    <w:tmpl w:val="ACA85266"/>
    <w:styleLink w:val="CTQBulletList"/>
    <w:lvl w:ilvl="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14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15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B6B1A"/>
    <w:multiLevelType w:val="hybridMultilevel"/>
    <w:tmpl w:val="3672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41F2A"/>
    <w:multiLevelType w:val="hybridMultilevel"/>
    <w:tmpl w:val="778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37BA"/>
    <w:multiLevelType w:val="multilevel"/>
    <w:tmpl w:val="0622B066"/>
    <w:styleLink w:val="CTQList"/>
    <w:lvl w:ilvl="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9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8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77957"/>
    <w:multiLevelType w:val="hybridMultilevel"/>
    <w:tmpl w:val="9C04F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E00D4"/>
    <w:multiLevelType w:val="hybridMultilevel"/>
    <w:tmpl w:val="0622B066"/>
    <w:lvl w:ilvl="0" w:tplc="2BD4E7D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37B69"/>
    <w:multiLevelType w:val="multilevel"/>
    <w:tmpl w:val="0622B066"/>
    <w:numStyleLink w:val="CTQList"/>
  </w:abstractNum>
  <w:abstractNum w:abstractNumId="27">
    <w:nsid w:val="7F3D1812"/>
    <w:multiLevelType w:val="hybridMultilevel"/>
    <w:tmpl w:val="2020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25"/>
  </w:num>
  <w:num w:numId="5">
    <w:abstractNumId w:val="19"/>
  </w:num>
  <w:num w:numId="6">
    <w:abstractNumId w:val="12"/>
  </w:num>
  <w:num w:numId="7">
    <w:abstractNumId w:val="24"/>
  </w:num>
  <w:num w:numId="8">
    <w:abstractNumId w:val="23"/>
  </w:num>
  <w:num w:numId="9">
    <w:abstractNumId w:val="26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  <w:num w:numId="17">
    <w:abstractNumId w:val="13"/>
  </w:num>
  <w:num w:numId="18">
    <w:abstractNumId w:val="1"/>
  </w:num>
  <w:num w:numId="19">
    <w:abstractNumId w:val="16"/>
  </w:num>
  <w:num w:numId="20">
    <w:abstractNumId w:val="18"/>
  </w:num>
  <w:num w:numId="21">
    <w:abstractNumId w:val="0"/>
  </w:num>
  <w:num w:numId="22">
    <w:abstractNumId w:val="6"/>
  </w:num>
  <w:num w:numId="23">
    <w:abstractNumId w:val="20"/>
  </w:num>
  <w:num w:numId="24">
    <w:abstractNumId w:val="17"/>
  </w:num>
  <w:num w:numId="25">
    <w:abstractNumId w:val="14"/>
  </w:num>
  <w:num w:numId="26">
    <w:abstractNumId w:val="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4"/>
    <w:rsid w:val="00085211"/>
    <w:rsid w:val="0018006A"/>
    <w:rsid w:val="001A29DF"/>
    <w:rsid w:val="001B55B8"/>
    <w:rsid w:val="001D671E"/>
    <w:rsid w:val="001E1FB3"/>
    <w:rsid w:val="00260C1D"/>
    <w:rsid w:val="00272EB1"/>
    <w:rsid w:val="00293FFE"/>
    <w:rsid w:val="002C7CF4"/>
    <w:rsid w:val="00300594"/>
    <w:rsid w:val="0039136E"/>
    <w:rsid w:val="00392E0D"/>
    <w:rsid w:val="003C7579"/>
    <w:rsid w:val="003D226C"/>
    <w:rsid w:val="004334D4"/>
    <w:rsid w:val="004362DF"/>
    <w:rsid w:val="0046614B"/>
    <w:rsid w:val="00472D45"/>
    <w:rsid w:val="004C55D4"/>
    <w:rsid w:val="004F38F4"/>
    <w:rsid w:val="00514E4C"/>
    <w:rsid w:val="00523F7C"/>
    <w:rsid w:val="00527120"/>
    <w:rsid w:val="005471F4"/>
    <w:rsid w:val="00573F87"/>
    <w:rsid w:val="00576AEB"/>
    <w:rsid w:val="00596D7D"/>
    <w:rsid w:val="005E5E08"/>
    <w:rsid w:val="00620AE5"/>
    <w:rsid w:val="006212B7"/>
    <w:rsid w:val="00684DC9"/>
    <w:rsid w:val="006865B1"/>
    <w:rsid w:val="006C140D"/>
    <w:rsid w:val="006E6F6D"/>
    <w:rsid w:val="00707BA7"/>
    <w:rsid w:val="00722181"/>
    <w:rsid w:val="007C3CBE"/>
    <w:rsid w:val="007D2DEB"/>
    <w:rsid w:val="007D39E8"/>
    <w:rsid w:val="007F43A2"/>
    <w:rsid w:val="00823608"/>
    <w:rsid w:val="008478AE"/>
    <w:rsid w:val="00854A59"/>
    <w:rsid w:val="00855E33"/>
    <w:rsid w:val="008D3B30"/>
    <w:rsid w:val="009143FA"/>
    <w:rsid w:val="00921A48"/>
    <w:rsid w:val="00944148"/>
    <w:rsid w:val="009B435B"/>
    <w:rsid w:val="00A4697F"/>
    <w:rsid w:val="00A5071D"/>
    <w:rsid w:val="00A57637"/>
    <w:rsid w:val="00A67B68"/>
    <w:rsid w:val="00A74764"/>
    <w:rsid w:val="00A95514"/>
    <w:rsid w:val="00AF3CCC"/>
    <w:rsid w:val="00AF6EA4"/>
    <w:rsid w:val="00B32235"/>
    <w:rsid w:val="00B34999"/>
    <w:rsid w:val="00B3658D"/>
    <w:rsid w:val="00B50E22"/>
    <w:rsid w:val="00B73BBC"/>
    <w:rsid w:val="00B7590A"/>
    <w:rsid w:val="00BC2EAE"/>
    <w:rsid w:val="00C50932"/>
    <w:rsid w:val="00C6431B"/>
    <w:rsid w:val="00CA1DCF"/>
    <w:rsid w:val="00CD3276"/>
    <w:rsid w:val="00CE3F92"/>
    <w:rsid w:val="00D23BBE"/>
    <w:rsid w:val="00D4707F"/>
    <w:rsid w:val="00DD59AC"/>
    <w:rsid w:val="00DD6C4D"/>
    <w:rsid w:val="00E01284"/>
    <w:rsid w:val="00E03197"/>
    <w:rsid w:val="00E305DD"/>
    <w:rsid w:val="00E51745"/>
    <w:rsid w:val="00EB62C0"/>
    <w:rsid w:val="00F56B92"/>
    <w:rsid w:val="00F96438"/>
    <w:rsid w:val="00FD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92A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A74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47222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3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EA131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rsid w:val="00392E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E0D"/>
    <w:rPr>
      <w:rFonts w:ascii="Times" w:hAnsi="Times"/>
      <w:b/>
      <w:bCs/>
    </w:rPr>
  </w:style>
  <w:style w:type="paragraph" w:styleId="Header">
    <w:name w:val="header"/>
    <w:basedOn w:val="Normal"/>
    <w:link w:val="HeaderChar"/>
    <w:uiPriority w:val="99"/>
    <w:unhideWhenUsed/>
    <w:rsid w:val="00392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0D"/>
  </w:style>
  <w:style w:type="paragraph" w:styleId="Footer">
    <w:name w:val="footer"/>
    <w:basedOn w:val="Normal"/>
    <w:link w:val="FooterChar"/>
    <w:uiPriority w:val="99"/>
    <w:unhideWhenUsed/>
    <w:rsid w:val="00392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0D"/>
  </w:style>
  <w:style w:type="paragraph" w:styleId="BalloonText">
    <w:name w:val="Balloon Text"/>
    <w:basedOn w:val="Normal"/>
    <w:link w:val="BalloonTextChar"/>
    <w:uiPriority w:val="99"/>
    <w:semiHidden/>
    <w:unhideWhenUsed/>
    <w:rsid w:val="00392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FF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32235"/>
  </w:style>
  <w:style w:type="table" w:styleId="TableGrid">
    <w:name w:val="Table Grid"/>
    <w:basedOn w:val="TableNormal"/>
    <w:uiPriority w:val="59"/>
    <w:rsid w:val="00B3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32235"/>
    <w:rPr>
      <w:color w:val="9D2017" w:themeColor="accent3" w:themeShade="BF"/>
    </w:rPr>
    <w:tblPr>
      <w:tblStyleRowBandSize w:val="1"/>
      <w:tblStyleColBandSize w:val="1"/>
      <w:tblInd w:w="0" w:type="dxa"/>
      <w:tblBorders>
        <w:top w:val="single" w:sz="8" w:space="0" w:color="D32B1F" w:themeColor="accent3"/>
        <w:bottom w:val="single" w:sz="8" w:space="0" w:color="D32B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2B1F" w:themeColor="accent3"/>
          <w:left w:val="nil"/>
          <w:bottom w:val="single" w:sz="8" w:space="0" w:color="D32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2B1F" w:themeColor="accent3"/>
          <w:left w:val="nil"/>
          <w:bottom w:val="single" w:sz="8" w:space="0" w:color="D32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8C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B32235"/>
    <w:tblPr>
      <w:tblStyleRowBandSize w:val="1"/>
      <w:tblStyleColBandSize w:val="1"/>
      <w:tblInd w:w="0" w:type="dxa"/>
      <w:tblBorders>
        <w:top w:val="single" w:sz="8" w:space="0" w:color="D32B1F" w:themeColor="accent3"/>
        <w:left w:val="single" w:sz="8" w:space="0" w:color="D32B1F" w:themeColor="accent3"/>
        <w:bottom w:val="single" w:sz="8" w:space="0" w:color="D32B1F" w:themeColor="accent3"/>
        <w:right w:val="single" w:sz="8" w:space="0" w:color="D32B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2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</w:tcBorders>
      </w:tcPr>
    </w:tblStylePr>
    <w:tblStylePr w:type="band1Horz"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B32235"/>
    <w:tblPr>
      <w:tblStyleRowBandSize w:val="1"/>
      <w:tblStyleColBandSize w:val="1"/>
      <w:tblInd w:w="0" w:type="dxa"/>
      <w:tblBorders>
        <w:top w:val="single" w:sz="8" w:space="0" w:color="E5594F" w:themeColor="accent3" w:themeTint="BF"/>
        <w:left w:val="single" w:sz="8" w:space="0" w:color="E5594F" w:themeColor="accent3" w:themeTint="BF"/>
        <w:bottom w:val="single" w:sz="8" w:space="0" w:color="E5594F" w:themeColor="accent3" w:themeTint="BF"/>
        <w:right w:val="single" w:sz="8" w:space="0" w:color="E5594F" w:themeColor="accent3" w:themeTint="BF"/>
        <w:insideH w:val="single" w:sz="8" w:space="0" w:color="E5594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94F" w:themeColor="accent3" w:themeTint="BF"/>
          <w:left w:val="single" w:sz="8" w:space="0" w:color="E5594F" w:themeColor="accent3" w:themeTint="BF"/>
          <w:bottom w:val="single" w:sz="8" w:space="0" w:color="E5594F" w:themeColor="accent3" w:themeTint="BF"/>
          <w:right w:val="single" w:sz="8" w:space="0" w:color="E5594F" w:themeColor="accent3" w:themeTint="BF"/>
          <w:insideH w:val="nil"/>
          <w:insideV w:val="nil"/>
        </w:tcBorders>
        <w:shd w:val="clear" w:color="auto" w:fill="D32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94F" w:themeColor="accent3" w:themeTint="BF"/>
          <w:left w:val="single" w:sz="8" w:space="0" w:color="E5594F" w:themeColor="accent3" w:themeTint="BF"/>
          <w:bottom w:val="single" w:sz="8" w:space="0" w:color="E5594F" w:themeColor="accent3" w:themeTint="BF"/>
          <w:right w:val="single" w:sz="8" w:space="0" w:color="E5594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8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8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32235"/>
    <w:tblPr>
      <w:tblStyleRowBandSize w:val="1"/>
      <w:tblStyleColBandSize w:val="1"/>
      <w:tblInd w:w="0" w:type="dxa"/>
      <w:tblBorders>
        <w:top w:val="single" w:sz="8" w:space="0" w:color="D32B1F" w:themeColor="accent3"/>
        <w:left w:val="single" w:sz="8" w:space="0" w:color="D32B1F" w:themeColor="accent3"/>
        <w:bottom w:val="single" w:sz="8" w:space="0" w:color="D32B1F" w:themeColor="accent3"/>
        <w:right w:val="single" w:sz="8" w:space="0" w:color="D32B1F" w:themeColor="accent3"/>
        <w:insideH w:val="single" w:sz="8" w:space="0" w:color="D32B1F" w:themeColor="accent3"/>
        <w:insideV w:val="single" w:sz="8" w:space="0" w:color="D32B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18" w:space="0" w:color="D32B1F" w:themeColor="accent3"/>
          <w:right w:val="single" w:sz="8" w:space="0" w:color="D32B1F" w:themeColor="accent3"/>
          <w:insideH w:val="nil"/>
          <w:insideV w:val="single" w:sz="8" w:space="0" w:color="D32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  <w:insideH w:val="nil"/>
          <w:insideV w:val="single" w:sz="8" w:space="0" w:color="D32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</w:tcBorders>
      </w:tcPr>
    </w:tblStylePr>
    <w:tblStylePr w:type="band1Vert"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</w:tcBorders>
        <w:shd w:val="clear" w:color="auto" w:fill="F6C8C5" w:themeFill="accent3" w:themeFillTint="3F"/>
      </w:tcPr>
    </w:tblStylePr>
    <w:tblStylePr w:type="band1Horz"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  <w:insideV w:val="single" w:sz="8" w:space="0" w:color="D32B1F" w:themeColor="accent3"/>
        </w:tcBorders>
        <w:shd w:val="clear" w:color="auto" w:fill="F6C8C5" w:themeFill="accent3" w:themeFillTint="3F"/>
      </w:tcPr>
    </w:tblStylePr>
    <w:tblStylePr w:type="band2Horz">
      <w:tblPr/>
      <w:tcPr>
        <w:tcBorders>
          <w:top w:val="single" w:sz="8" w:space="0" w:color="D32B1F" w:themeColor="accent3"/>
          <w:left w:val="single" w:sz="8" w:space="0" w:color="D32B1F" w:themeColor="accent3"/>
          <w:bottom w:val="single" w:sz="8" w:space="0" w:color="D32B1F" w:themeColor="accent3"/>
          <w:right w:val="single" w:sz="8" w:space="0" w:color="D32B1F" w:themeColor="accent3"/>
          <w:insideV w:val="single" w:sz="8" w:space="0" w:color="D32B1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1800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LightList-Accent1">
    <w:name w:val="Light List Accent 1"/>
    <w:basedOn w:val="TableNormal"/>
    <w:uiPriority w:val="61"/>
    <w:rsid w:val="00B7590A"/>
    <w:tblPr>
      <w:tblStyleRowBandSize w:val="1"/>
      <w:tblStyleColBandSize w:val="1"/>
      <w:tblInd w:w="0" w:type="dxa"/>
      <w:tblBorders>
        <w:top w:val="single" w:sz="8" w:space="0" w:color="8EA131" w:themeColor="accent1"/>
        <w:left w:val="single" w:sz="8" w:space="0" w:color="8EA131" w:themeColor="accent1"/>
        <w:bottom w:val="single" w:sz="8" w:space="0" w:color="8EA131" w:themeColor="accent1"/>
        <w:right w:val="single" w:sz="8" w:space="0" w:color="8EA13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A1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131" w:themeColor="accent1"/>
          <w:left w:val="single" w:sz="8" w:space="0" w:color="8EA131" w:themeColor="accent1"/>
          <w:bottom w:val="single" w:sz="8" w:space="0" w:color="8EA131" w:themeColor="accent1"/>
          <w:right w:val="single" w:sz="8" w:space="0" w:color="8EA1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A131" w:themeColor="accent1"/>
          <w:left w:val="single" w:sz="8" w:space="0" w:color="8EA131" w:themeColor="accent1"/>
          <w:bottom w:val="single" w:sz="8" w:space="0" w:color="8EA131" w:themeColor="accent1"/>
          <w:right w:val="single" w:sz="8" w:space="0" w:color="8EA131" w:themeColor="accent1"/>
        </w:tcBorders>
      </w:tcPr>
    </w:tblStylePr>
    <w:tblStylePr w:type="band1Horz">
      <w:tblPr/>
      <w:tcPr>
        <w:tcBorders>
          <w:top w:val="single" w:sz="8" w:space="0" w:color="8EA131" w:themeColor="accent1"/>
          <w:left w:val="single" w:sz="8" w:space="0" w:color="8EA131" w:themeColor="accent1"/>
          <w:bottom w:val="single" w:sz="8" w:space="0" w:color="8EA131" w:themeColor="accent1"/>
          <w:right w:val="single" w:sz="8" w:space="0" w:color="8EA131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B7590A"/>
    <w:tblPr>
      <w:tblStyleRowBandSize w:val="1"/>
      <w:tblStyleColBandSize w:val="1"/>
      <w:tblInd w:w="0" w:type="dxa"/>
      <w:tblBorders>
        <w:top w:val="single" w:sz="8" w:space="0" w:color="C5D558" w:themeColor="accent4"/>
        <w:left w:val="single" w:sz="8" w:space="0" w:color="C5D558" w:themeColor="accent4"/>
        <w:bottom w:val="single" w:sz="8" w:space="0" w:color="C5D558" w:themeColor="accent4"/>
        <w:right w:val="single" w:sz="8" w:space="0" w:color="C5D55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5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558" w:themeColor="accent4"/>
          <w:left w:val="single" w:sz="8" w:space="0" w:color="C5D558" w:themeColor="accent4"/>
          <w:bottom w:val="single" w:sz="8" w:space="0" w:color="C5D558" w:themeColor="accent4"/>
          <w:right w:val="single" w:sz="8" w:space="0" w:color="C5D5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558" w:themeColor="accent4"/>
          <w:left w:val="single" w:sz="8" w:space="0" w:color="C5D558" w:themeColor="accent4"/>
          <w:bottom w:val="single" w:sz="8" w:space="0" w:color="C5D558" w:themeColor="accent4"/>
          <w:right w:val="single" w:sz="8" w:space="0" w:color="C5D558" w:themeColor="accent4"/>
        </w:tcBorders>
      </w:tcPr>
    </w:tblStylePr>
    <w:tblStylePr w:type="band1Horz">
      <w:tblPr/>
      <w:tcPr>
        <w:tcBorders>
          <w:top w:val="single" w:sz="8" w:space="0" w:color="C5D558" w:themeColor="accent4"/>
          <w:left w:val="single" w:sz="8" w:space="0" w:color="C5D558" w:themeColor="accent4"/>
          <w:bottom w:val="single" w:sz="8" w:space="0" w:color="C5D558" w:themeColor="accent4"/>
          <w:right w:val="single" w:sz="8" w:space="0" w:color="C5D558" w:themeColor="accent4"/>
        </w:tcBorders>
      </w:tcPr>
    </w:tblStylePr>
  </w:style>
  <w:style w:type="paragraph" w:customStyle="1" w:styleId="CTQTitle">
    <w:name w:val="CTQ Title"/>
    <w:basedOn w:val="Title"/>
    <w:next w:val="Title"/>
    <w:qFormat/>
    <w:rsid w:val="009B435B"/>
    <w:pPr>
      <w:pBdr>
        <w:bottom w:val="none" w:sz="0" w:space="0" w:color="auto"/>
      </w:pBdr>
      <w:spacing w:before="240" w:after="120"/>
    </w:pPr>
    <w:rPr>
      <w:rFonts w:ascii="Tahoma" w:hAnsi="Tahoma" w:cs="Tahoma"/>
      <w:b/>
      <w:color w:val="8EA131" w:themeColor="accent1"/>
      <w:sz w:val="48"/>
      <w:szCs w:val="48"/>
    </w:rPr>
  </w:style>
  <w:style w:type="character" w:customStyle="1" w:styleId="CTQH3EmphasisSubtitle">
    <w:name w:val="CTQ H3/Emphasis/Subtitle"/>
    <w:basedOn w:val="Emphasis"/>
    <w:uiPriority w:val="1"/>
    <w:qFormat/>
    <w:rsid w:val="009B435B"/>
    <w:rPr>
      <w:rFonts w:ascii="Tahoma" w:hAnsi="Tahoma" w:cs="Tahoma"/>
      <w:b/>
      <w:i w:val="0"/>
      <w:iCs/>
      <w:color w:val="D32B1F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B50E22"/>
    <w:pPr>
      <w:pBdr>
        <w:bottom w:val="single" w:sz="8" w:space="4" w:color="8EA131" w:themeColor="accent1"/>
      </w:pBdr>
      <w:spacing w:after="300"/>
      <w:contextualSpacing/>
    </w:pPr>
    <w:rPr>
      <w:rFonts w:asciiTheme="majorHAnsi" w:eastAsiaTheme="majorEastAsia" w:hAnsiTheme="majorHAnsi" w:cstheme="majorBidi"/>
      <w:color w:val="0725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0E22"/>
    <w:rPr>
      <w:rFonts w:asciiTheme="majorHAnsi" w:eastAsiaTheme="majorEastAsia" w:hAnsiTheme="majorHAnsi" w:cstheme="majorBidi"/>
      <w:color w:val="072535" w:themeColor="text2" w:themeShade="BF"/>
      <w:spacing w:val="5"/>
      <w:kern w:val="28"/>
      <w:sz w:val="52"/>
      <w:szCs w:val="52"/>
    </w:rPr>
  </w:style>
  <w:style w:type="paragraph" w:customStyle="1" w:styleId="CTQH1">
    <w:name w:val="CTQ H1"/>
    <w:basedOn w:val="Normal"/>
    <w:qFormat/>
    <w:rsid w:val="00A95514"/>
    <w:pPr>
      <w:spacing w:before="300" w:after="120"/>
    </w:pPr>
    <w:rPr>
      <w:rFonts w:ascii="Tahoma" w:hAnsi="Tahoma" w:cs="Tahoma"/>
      <w:b/>
      <w:color w:val="0E354D" w:themeColor="accent2"/>
      <w:sz w:val="32"/>
      <w:szCs w:val="32"/>
    </w:rPr>
  </w:style>
  <w:style w:type="character" w:styleId="Emphasis">
    <w:name w:val="Emphasis"/>
    <w:basedOn w:val="DefaultParagraphFont"/>
    <w:uiPriority w:val="20"/>
    <w:rsid w:val="00A74764"/>
    <w:rPr>
      <w:i/>
      <w:iCs/>
    </w:rPr>
  </w:style>
  <w:style w:type="paragraph" w:customStyle="1" w:styleId="CTQBody">
    <w:name w:val="CTQ Body"/>
    <w:basedOn w:val="Normal"/>
    <w:qFormat/>
    <w:rsid w:val="003D226C"/>
    <w:pPr>
      <w:spacing w:after="120" w:line="280" w:lineRule="exact"/>
    </w:pPr>
    <w:rPr>
      <w:rFonts w:ascii="Cambria" w:hAnsi="Cambri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4764"/>
    <w:rPr>
      <w:rFonts w:asciiTheme="majorHAnsi" w:eastAsiaTheme="majorEastAsia" w:hAnsiTheme="majorHAnsi" w:cstheme="majorBidi"/>
      <w:b/>
      <w:bCs/>
      <w:color w:val="647222" w:themeColor="accent1" w:themeShade="B5"/>
      <w:sz w:val="32"/>
      <w:szCs w:val="32"/>
    </w:rPr>
  </w:style>
  <w:style w:type="numbering" w:customStyle="1" w:styleId="CTQList">
    <w:name w:val="CTQ List"/>
    <w:uiPriority w:val="99"/>
    <w:rsid w:val="00A74764"/>
    <w:pPr>
      <w:numPr>
        <w:numId w:val="8"/>
      </w:numPr>
    </w:pPr>
  </w:style>
  <w:style w:type="paragraph" w:customStyle="1" w:styleId="CTQH2Endnotes">
    <w:name w:val="CTQ H2/Endnotes"/>
    <w:basedOn w:val="Heading2"/>
    <w:qFormat/>
    <w:rsid w:val="00823608"/>
    <w:rPr>
      <w:rFonts w:ascii="Tahoma" w:hAnsi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3276"/>
    <w:rPr>
      <w:rFonts w:asciiTheme="majorHAnsi" w:eastAsiaTheme="majorEastAsia" w:hAnsiTheme="majorHAnsi" w:cstheme="majorBidi"/>
      <w:b/>
      <w:bCs/>
      <w:color w:val="8EA131" w:themeColor="accent1"/>
      <w:sz w:val="26"/>
      <w:szCs w:val="26"/>
    </w:rPr>
  </w:style>
  <w:style w:type="character" w:customStyle="1" w:styleId="CTQHyperlink">
    <w:name w:val="CTQ Hyperlink"/>
    <w:basedOn w:val="Hyperlink"/>
    <w:uiPriority w:val="1"/>
    <w:qFormat/>
    <w:rsid w:val="006212B7"/>
    <w:rPr>
      <w:rFonts w:asciiTheme="minorHAnsi" w:hAnsiTheme="minorHAnsi"/>
      <w:b w:val="0"/>
      <w:i w:val="0"/>
      <w:color w:val="1E83BA" w:themeColor="accent5"/>
      <w:sz w:val="20"/>
      <w:u w:val="single"/>
    </w:rPr>
  </w:style>
  <w:style w:type="paragraph" w:customStyle="1" w:styleId="CTQBulletLevel1">
    <w:name w:val="CTQ Bullet—Level 1"/>
    <w:basedOn w:val="CTQBody"/>
    <w:qFormat/>
    <w:rsid w:val="003D226C"/>
    <w:pPr>
      <w:numPr>
        <w:numId w:val="14"/>
      </w:numPr>
    </w:pPr>
  </w:style>
  <w:style w:type="paragraph" w:customStyle="1" w:styleId="CTQBulletLevel2">
    <w:name w:val="CTQ Bullet—Level 2"/>
    <w:basedOn w:val="CTQBody"/>
    <w:qFormat/>
    <w:rsid w:val="003D226C"/>
    <w:pPr>
      <w:numPr>
        <w:numId w:val="16"/>
      </w:numPr>
    </w:pPr>
  </w:style>
  <w:style w:type="paragraph" w:customStyle="1" w:styleId="CTQBulletLevel3">
    <w:name w:val="CTQ Bullet—Level 3"/>
    <w:basedOn w:val="CTQBody"/>
    <w:qFormat/>
    <w:rsid w:val="003D226C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6212B7"/>
    <w:rPr>
      <w:color w:val="1E83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2B7"/>
    <w:rPr>
      <w:color w:val="0E354D" w:themeColor="followedHyperlink"/>
      <w:u w:val="single"/>
    </w:rPr>
  </w:style>
  <w:style w:type="character" w:customStyle="1" w:styleId="CTQHyperlinkfollowed">
    <w:name w:val="CTQ Hyperlink(followed)"/>
    <w:basedOn w:val="FollowedHyperlink"/>
    <w:uiPriority w:val="1"/>
    <w:qFormat/>
    <w:rsid w:val="00D4707F"/>
    <w:rPr>
      <w:rFonts w:asciiTheme="minorHAnsi" w:hAnsiTheme="minorHAnsi"/>
      <w:color w:val="2785B7"/>
      <w:sz w:val="20"/>
      <w:u w:val="single"/>
    </w:rPr>
  </w:style>
  <w:style w:type="numbering" w:customStyle="1" w:styleId="CTQBulletList">
    <w:name w:val="CTQ Bullet List"/>
    <w:basedOn w:val="NoList"/>
    <w:uiPriority w:val="99"/>
    <w:rsid w:val="009B435B"/>
    <w:pPr>
      <w:numPr>
        <w:numId w:val="23"/>
      </w:numPr>
    </w:pPr>
  </w:style>
  <w:style w:type="paragraph" w:customStyle="1" w:styleId="CTQTableTitle">
    <w:name w:val="CTQ Table Title"/>
    <w:basedOn w:val="Normal"/>
    <w:qFormat/>
    <w:rsid w:val="00921A48"/>
    <w:pPr>
      <w:keepNext/>
      <w:suppressAutoHyphens/>
      <w:jc w:val="center"/>
      <w:outlineLvl w:val="1"/>
    </w:pPr>
    <w:rPr>
      <w:rFonts w:ascii="Tahoma" w:eastAsia="ヒラギノ角ゴ Pro W3" w:hAnsi="Tahoma" w:cs="Tahoma"/>
      <w:b/>
      <w:bCs/>
      <w:smallCaps/>
      <w:color w:val="FFFFFF"/>
      <w:sz w:val="20"/>
      <w:szCs w:val="20"/>
    </w:rPr>
  </w:style>
  <w:style w:type="paragraph" w:customStyle="1" w:styleId="CTQTableBody">
    <w:name w:val="CTQ Table Body"/>
    <w:basedOn w:val="CTQBody"/>
    <w:qFormat/>
    <w:rsid w:val="00921A48"/>
    <w:pPr>
      <w:spacing w:after="0" w:line="240" w:lineRule="auto"/>
    </w:pPr>
    <w:rPr>
      <w:rFonts w:asciiTheme="minorHAnsi" w:hAnsiTheme="minorHAnsi" w:cs="Arial"/>
      <w:szCs w:val="24"/>
    </w:rPr>
  </w:style>
  <w:style w:type="paragraph" w:customStyle="1" w:styleId="CTQTimes">
    <w:name w:val="CTQ Times"/>
    <w:basedOn w:val="CTQBody"/>
    <w:qFormat/>
    <w:rsid w:val="0082360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1" Type="http://schemas.openxmlformats.org/officeDocument/2006/relationships/image" Target="media/image11.emf"/><Relationship Id="rId12" Type="http://schemas.openxmlformats.org/officeDocument/2006/relationships/image" Target="media/image12.emf"/><Relationship Id="rId13" Type="http://schemas.openxmlformats.org/officeDocument/2006/relationships/image" Target="media/image13.emf"/><Relationship Id="rId14" Type="http://schemas.openxmlformats.org/officeDocument/2006/relationships/image" Target="media/image14.emf"/><Relationship Id="rId15" Type="http://schemas.openxmlformats.org/officeDocument/2006/relationships/image" Target="media/image15.emf"/><Relationship Id="rId16" Type="http://schemas.openxmlformats.org/officeDocument/2006/relationships/image" Target="media/image16.emf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emf"/><Relationship Id="rId6" Type="http://schemas.openxmlformats.org/officeDocument/2006/relationships/image" Target="media/image6.emf"/><Relationship Id="rId7" Type="http://schemas.openxmlformats.org/officeDocument/2006/relationships/image" Target="media/image7.emf"/><Relationship Id="rId8" Type="http://schemas.openxmlformats.org/officeDocument/2006/relationships/image" Target="media/image8.emf"/><Relationship Id="rId9" Type="http://schemas.openxmlformats.org/officeDocument/2006/relationships/image" Target="media/image9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aughtrey:Library:Application%20Support:Microsoft:Office:User%20Templates:My%20Templates:CTQ%20Report%20(summer%202015).dotx" TargetMode="External"/></Relationships>
</file>

<file path=word/theme/theme1.xml><?xml version="1.0" encoding="utf-8"?>
<a:theme xmlns:a="http://schemas.openxmlformats.org/drawingml/2006/main" name="CTQ Them">
  <a:themeElements>
    <a:clrScheme name="CTQ Theme">
      <a:dk1>
        <a:sysClr val="windowText" lastClr="000000"/>
      </a:dk1>
      <a:lt1>
        <a:sysClr val="window" lastClr="FFFFFF"/>
      </a:lt1>
      <a:dk2>
        <a:srgbClr val="0A3248"/>
      </a:dk2>
      <a:lt2>
        <a:srgbClr val="FFFFFF"/>
      </a:lt2>
      <a:accent1>
        <a:srgbClr val="8EA131"/>
      </a:accent1>
      <a:accent2>
        <a:srgbClr val="0E354D"/>
      </a:accent2>
      <a:accent3>
        <a:srgbClr val="D32B1F"/>
      </a:accent3>
      <a:accent4>
        <a:srgbClr val="C5D558"/>
      </a:accent4>
      <a:accent5>
        <a:srgbClr val="1E83BA"/>
      </a:accent5>
      <a:accent6>
        <a:srgbClr val="D25213"/>
      </a:accent6>
      <a:hlink>
        <a:srgbClr val="1E83BA"/>
      </a:hlink>
      <a:folHlink>
        <a:srgbClr val="0E354D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8551C559-0AC6-4C74-BB74-411BBC7D911E}"/>
</file>

<file path=customXml/itemProps2.xml><?xml version="1.0" encoding="utf-8"?>
<ds:datastoreItem xmlns:ds="http://schemas.openxmlformats.org/officeDocument/2006/customXml" ds:itemID="{8040C47A-AA83-4784-85CF-81BA9DEBADA2}"/>
</file>

<file path=customXml/itemProps3.xml><?xml version="1.0" encoding="utf-8"?>
<ds:datastoreItem xmlns:ds="http://schemas.openxmlformats.org/officeDocument/2006/customXml" ds:itemID="{1EB728CD-51AA-41E9-A00C-9E140584DDAF}"/>
</file>

<file path=customXml/itemProps4.xml><?xml version="1.0" encoding="utf-8"?>
<ds:datastoreItem xmlns:ds="http://schemas.openxmlformats.org/officeDocument/2006/customXml" ds:itemID="{868F0132-3FAC-6F45-9B66-F1308449B421}"/>
</file>

<file path=customXml/itemProps5.xml><?xml version="1.0" encoding="utf-8"?>
<ds:datastoreItem xmlns:ds="http://schemas.openxmlformats.org/officeDocument/2006/customXml" ds:itemID="{C62BF2B8-EA76-4D13-86FA-22AC3B168175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HD:Users:adaughtrey:Library:Application Support:Microsoft:Office:User Templates:My Templates:CTQ Report (summer 2015).dotx</Template>
  <TotalTime>5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Teaching Quality (CTQ)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Alesha Daughtrey</dc:creator>
  <cp:keywords/>
  <dc:description/>
  <cp:lastModifiedBy>Microsoft Office User</cp:lastModifiedBy>
  <cp:revision>2</cp:revision>
  <cp:lastPrinted>2015-11-16T15:16:00Z</cp:lastPrinted>
  <dcterms:created xsi:type="dcterms:W3CDTF">2016-02-04T18:50:00Z</dcterms:created>
  <dcterms:modified xsi:type="dcterms:W3CDTF">2016-02-04T18:50:00Z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