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C30E" w14:textId="289A6825" w:rsidR="00AE0B41" w:rsidRDefault="00AE0B41" w:rsidP="00AE0B41">
      <w:pPr>
        <w:jc w:val="center"/>
        <w:rPr>
          <w:rFonts w:ascii="Open Sans" w:eastAsia="Calibri" w:hAnsi="Open Sans" w:cs="Lucida Grande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PROJET DE LETTRE A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>INTENTION DU/DE LA REPRESENTANT(E) DU GOUVERNEMENT</w:t>
      </w:r>
    </w:p>
    <w:p w14:paraId="54E1682B" w14:textId="77777777" w:rsidR="00AE0B41" w:rsidRDefault="00AE0B41" w:rsidP="00AE0B41">
      <w:pPr>
        <w:rPr>
          <w:rFonts w:ascii="Open Sans" w:eastAsia="Calibri" w:hAnsi="Open Sans" w:cs="Lucida Grande"/>
          <w:color w:val="000000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color w:val="000000"/>
          <w:sz w:val="21"/>
          <w:szCs w:val="21"/>
        </w:rPr>
        <w:t>Madame, Monsieur,</w:t>
      </w:r>
    </w:p>
    <w:p w14:paraId="6666170E" w14:textId="35CD79D6" w:rsidR="00AE0B41" w:rsidRDefault="00326C0A" w:rsidP="00AE0B41">
      <w:pPr>
        <w:rPr>
          <w:rFonts w:ascii="Open Sans" w:eastAsia="Calibri" w:hAnsi="Open Sans" w:cs="Lucida Grande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Le/L</w:t>
      </w:r>
      <w:r w:rsidR="00AE0B41">
        <w:rPr>
          <w:rFonts w:ascii="Open Sans" w:hAnsi="Open Sans"/>
          <w:color w:val="000000"/>
          <w:sz w:val="21"/>
          <w:szCs w:val="21"/>
        </w:rPr>
        <w:t>a [nom du syndicat] souhaite prendre contact avec vous aujourd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 w:rsidR="00AE0B41">
        <w:rPr>
          <w:rFonts w:ascii="Open Sans" w:hAnsi="Open Sans"/>
          <w:color w:val="000000"/>
          <w:sz w:val="21"/>
          <w:szCs w:val="21"/>
        </w:rPr>
        <w:t xml:space="preserve">hui dans le contexte des </w:t>
      </w:r>
      <w:r w:rsidR="00A52B62">
        <w:rPr>
          <w:rFonts w:ascii="Open Sans" w:hAnsi="Open Sans"/>
          <w:color w:val="000000"/>
          <w:sz w:val="21"/>
          <w:szCs w:val="21"/>
        </w:rPr>
        <w:t>échanges mondiaux concernant le droit</w:t>
      </w:r>
      <w:r w:rsidR="00AE0B41">
        <w:rPr>
          <w:rFonts w:ascii="Open Sans" w:hAnsi="Open Sans"/>
          <w:color w:val="000000"/>
          <w:sz w:val="21"/>
          <w:szCs w:val="21"/>
        </w:rPr>
        <w:t xml:space="preserve"> d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 w:rsidR="00AE0B41">
        <w:rPr>
          <w:rFonts w:ascii="Open Sans" w:hAnsi="Open Sans"/>
          <w:color w:val="000000"/>
          <w:sz w:val="21"/>
          <w:szCs w:val="21"/>
        </w:rPr>
        <w:t>auteur et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 w:rsidR="00AE0B41">
        <w:rPr>
          <w:rFonts w:ascii="Open Sans" w:hAnsi="Open Sans"/>
          <w:color w:val="000000"/>
          <w:sz w:val="21"/>
          <w:szCs w:val="21"/>
        </w:rPr>
        <w:t xml:space="preserve">enseignement. </w:t>
      </w:r>
    </w:p>
    <w:p w14:paraId="758F6154" w14:textId="791CF450" w:rsidR="00AE0B41" w:rsidRDefault="00AE0B41" w:rsidP="00AE0B41">
      <w:pPr>
        <w:rPr>
          <w:rFonts w:ascii="Open Sans" w:eastAsia="Calibri" w:hAnsi="Open Sans" w:cs="Lucida Grande"/>
          <w:color w:val="000000" w:themeColor="text1"/>
          <w:sz w:val="21"/>
          <w:szCs w:val="21"/>
        </w:rPr>
      </w:pPr>
      <w:r>
        <w:rPr>
          <w:rFonts w:ascii="Open Sans" w:hAnsi="Open Sans"/>
          <w:color w:val="000000" w:themeColor="text1"/>
          <w:sz w:val="21"/>
          <w:szCs w:val="21"/>
        </w:rPr>
        <w:t>Plus précisément,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Organisation Mondiale de la Propriété Intellectuelle (OMPI) abordera la question des exceptions et limitations au droit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auteur en faveur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enseignement à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occasion de la 35</w:t>
      </w:r>
      <w:r w:rsidR="00A52B62">
        <w:rPr>
          <w:rFonts w:ascii="Open Sans" w:hAnsi="Open Sans"/>
          <w:color w:val="000000" w:themeColor="text1"/>
          <w:sz w:val="21"/>
          <w:szCs w:val="21"/>
          <w:vertAlign w:val="superscript"/>
        </w:rPr>
        <w:t>e</w:t>
      </w:r>
      <w:r>
        <w:rPr>
          <w:rFonts w:ascii="Open Sans" w:hAnsi="Open Sans"/>
          <w:color w:val="000000" w:themeColor="text1"/>
          <w:sz w:val="21"/>
          <w:szCs w:val="21"/>
        </w:rPr>
        <w:t xml:space="preserve"> session du Comité permanent du droit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auteur et des droits connexes (SCCR) qui se tiendra du 13 au 17 novembre 2017 à Genève.</w:t>
      </w:r>
    </w:p>
    <w:p w14:paraId="1895CD47" w14:textId="4EA7E37C" w:rsidR="00AE0B41" w:rsidRPr="00990069" w:rsidRDefault="00AE0B41" w:rsidP="00AE0B41">
      <w:pPr>
        <w:rPr>
          <w:rFonts w:ascii="Open Sans" w:eastAsia="Calibri" w:hAnsi="Open Sans" w:cs="Lucida Grande"/>
          <w:color w:val="000000" w:themeColor="text1"/>
          <w:sz w:val="21"/>
          <w:szCs w:val="21"/>
        </w:rPr>
      </w:pPr>
      <w:r>
        <w:rPr>
          <w:rFonts w:ascii="Open Sans" w:hAnsi="Open Sans"/>
          <w:color w:val="000000" w:themeColor="text1"/>
          <w:sz w:val="21"/>
          <w:szCs w:val="21"/>
        </w:rPr>
        <w:t>Nous sommes préoccupés par le fait que nombre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 w:rsidR="00A52B62">
        <w:rPr>
          <w:rFonts w:ascii="Open Sans" w:hAnsi="Open Sans"/>
          <w:color w:val="000000" w:themeColor="text1"/>
          <w:sz w:val="21"/>
          <w:szCs w:val="21"/>
        </w:rPr>
        <w:t>E</w:t>
      </w:r>
      <w:r>
        <w:rPr>
          <w:rFonts w:ascii="Open Sans" w:hAnsi="Open Sans"/>
          <w:color w:val="000000" w:themeColor="text1"/>
          <w:sz w:val="21"/>
          <w:szCs w:val="21"/>
        </w:rPr>
        <w:t>tats membres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U</w:t>
      </w:r>
      <w:r w:rsidR="00A52B62">
        <w:rPr>
          <w:rFonts w:ascii="Open Sans" w:hAnsi="Open Sans"/>
          <w:color w:val="000000" w:themeColor="text1"/>
          <w:sz w:val="21"/>
          <w:szCs w:val="21"/>
        </w:rPr>
        <w:t xml:space="preserve">nion </w:t>
      </w:r>
      <w:r>
        <w:rPr>
          <w:rFonts w:ascii="Open Sans" w:hAnsi="Open Sans"/>
          <w:color w:val="000000" w:themeColor="text1"/>
          <w:sz w:val="21"/>
          <w:szCs w:val="21"/>
        </w:rPr>
        <w:t>E</w:t>
      </w:r>
      <w:r w:rsidR="00A52B62">
        <w:rPr>
          <w:rFonts w:ascii="Open Sans" w:hAnsi="Open Sans"/>
          <w:color w:val="000000" w:themeColor="text1"/>
          <w:sz w:val="21"/>
          <w:szCs w:val="21"/>
        </w:rPr>
        <w:t>uropéenne</w:t>
      </w:r>
      <w:r w:rsidR="00AE5429">
        <w:rPr>
          <w:rFonts w:ascii="Open Sans" w:hAnsi="Open Sans"/>
          <w:color w:val="000000" w:themeColor="text1"/>
          <w:sz w:val="21"/>
          <w:szCs w:val="21"/>
        </w:rPr>
        <w:t xml:space="preserve"> </w:t>
      </w:r>
      <w:r>
        <w:rPr>
          <w:rFonts w:ascii="Open Sans" w:hAnsi="Open Sans"/>
          <w:color w:val="000000" w:themeColor="text1"/>
          <w:sz w:val="21"/>
          <w:szCs w:val="21"/>
        </w:rPr>
        <w:t>et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autres pays appliquant des exceptions en faveur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enseignement s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opposent à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 xml:space="preserve">élaboration de normes minimales mondiales, qui seraient pourtant bénéfiques pour les systèmes éducatifs des pays en développement. </w:t>
      </w:r>
    </w:p>
    <w:p w14:paraId="45F0D6B6" w14:textId="024A1546" w:rsidR="00AE0B41" w:rsidRDefault="00AE0B41" w:rsidP="00AE0B41">
      <w:pPr>
        <w:rPr>
          <w:rFonts w:ascii="Open Sans" w:eastAsia="Calibri" w:hAnsi="Open Sans" w:cs="Lucida Grande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Dans une perspective de réalisation de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>Objectif de développement durable</w:t>
      </w:r>
      <w:r w:rsidR="00A52B62">
        <w:rPr>
          <w:rFonts w:ascii="Open Sans" w:hAnsi="Open Sans"/>
          <w:color w:val="000000"/>
          <w:sz w:val="21"/>
          <w:szCs w:val="21"/>
        </w:rPr>
        <w:t xml:space="preserve"> (ODD) n°</w:t>
      </w:r>
      <w:r>
        <w:rPr>
          <w:rFonts w:ascii="Open Sans" w:hAnsi="Open Sans"/>
          <w:color w:val="000000"/>
          <w:sz w:val="21"/>
          <w:szCs w:val="21"/>
        </w:rPr>
        <w:t>4 sur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>éducation de qualité, il est essentiel que les enseignant(e)s et le personnel de soutien à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>éducation, à tous les niveaux, puissent accéder aux matériels et supports permettant d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 xml:space="preserve">offrir une </w:t>
      </w:r>
      <w:r w:rsidR="00A52B62">
        <w:rPr>
          <w:rFonts w:ascii="Open Sans" w:hAnsi="Open Sans"/>
          <w:color w:val="000000"/>
          <w:sz w:val="21"/>
          <w:szCs w:val="21"/>
        </w:rPr>
        <w:t xml:space="preserve">éducation de qualité pour </w:t>
      </w:r>
      <w:proofErr w:type="spellStart"/>
      <w:r w:rsidR="00A52B62">
        <w:rPr>
          <w:rFonts w:ascii="Open Sans" w:hAnsi="Open Sans"/>
          <w:color w:val="000000"/>
          <w:sz w:val="21"/>
          <w:szCs w:val="21"/>
        </w:rPr>
        <w:t>tou</w:t>
      </w:r>
      <w:proofErr w:type="spellEnd"/>
      <w:r w:rsidR="00A52B62">
        <w:rPr>
          <w:rFonts w:ascii="Open Sans" w:hAnsi="Open Sans"/>
          <w:color w:val="000000"/>
          <w:sz w:val="21"/>
          <w:szCs w:val="21"/>
        </w:rPr>
        <w:t>(te)s.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</w:p>
    <w:p w14:paraId="4369ED9E" w14:textId="11404C1E" w:rsidR="00AE0B41" w:rsidRPr="00F7433C" w:rsidRDefault="00AE0B41" w:rsidP="00AE0B41">
      <w:pPr>
        <w:rPr>
          <w:rFonts w:ascii="Open Sans" w:eastAsia="Calibri" w:hAnsi="Open Sans" w:cs="Lucida Grande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Aussi, nous vous invitons à bien vouloir vous faire l</w:t>
      </w:r>
      <w:r w:rsidR="009B64A7">
        <w:rPr>
          <w:rFonts w:ascii="Open Sans" w:hAnsi="Open Sans"/>
          <w:color w:val="000000"/>
          <w:sz w:val="21"/>
          <w:szCs w:val="21"/>
        </w:rPr>
        <w:t>’</w:t>
      </w:r>
      <w:r>
        <w:rPr>
          <w:rFonts w:ascii="Open Sans" w:hAnsi="Open Sans"/>
          <w:color w:val="000000"/>
          <w:sz w:val="21"/>
          <w:szCs w:val="21"/>
        </w:rPr>
        <w:t>écho des messages suivants lors de la pro</w:t>
      </w:r>
      <w:r w:rsidR="00326C0A">
        <w:rPr>
          <w:rFonts w:ascii="Open Sans" w:hAnsi="Open Sans"/>
          <w:color w:val="000000"/>
          <w:sz w:val="21"/>
          <w:szCs w:val="21"/>
        </w:rPr>
        <w:t>chaine réunion du SCCR à Genève</w:t>
      </w:r>
      <w:r>
        <w:rPr>
          <w:rFonts w:ascii="Open Sans" w:hAnsi="Open Sans"/>
          <w:color w:val="000000"/>
          <w:sz w:val="21"/>
          <w:szCs w:val="21"/>
        </w:rPr>
        <w:t xml:space="preserve">: </w:t>
      </w:r>
    </w:p>
    <w:p w14:paraId="51CD96A5" w14:textId="784945AD" w:rsidR="00AE0B41" w:rsidRDefault="00AE0B41" w:rsidP="00326C0A">
      <w:pPr>
        <w:pStyle w:val="ListParagraph"/>
        <w:numPr>
          <w:ilvl w:val="0"/>
          <w:numId w:val="3"/>
        </w:numPr>
        <w:rPr>
          <w:rFonts w:ascii="Open Sans" w:eastAsia="Calibri" w:hAnsi="Open Sans" w:cs="Lucida Grande"/>
          <w:color w:val="000000" w:themeColor="text1"/>
          <w:sz w:val="21"/>
          <w:szCs w:val="21"/>
        </w:rPr>
      </w:pPr>
      <w:r>
        <w:rPr>
          <w:rFonts w:ascii="Open Sans" w:hAnsi="Open Sans"/>
          <w:color w:val="000000" w:themeColor="text1"/>
          <w:sz w:val="21"/>
          <w:szCs w:val="21"/>
        </w:rPr>
        <w:t>Promouvoir la collaboration entre toutes les agences des Nations Unies, y compris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OMPI, en vue de la réalisation des objectifs de développement durable des Nations Unies, incluant également un débat sur la façon dont le SCCR peut contribuer à la réalisation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ODD n°4 et favoriser un accès plus équitable aux supports à des fins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enseignement et de recherche. Dans le cadre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 w:rsidR="00A52B62">
        <w:rPr>
          <w:rFonts w:ascii="Open Sans" w:hAnsi="Open Sans"/>
          <w:color w:val="000000" w:themeColor="text1"/>
          <w:sz w:val="21"/>
          <w:szCs w:val="21"/>
        </w:rPr>
        <w:t>Agenda mondial E</w:t>
      </w:r>
      <w:r>
        <w:rPr>
          <w:rFonts w:ascii="Open Sans" w:hAnsi="Open Sans"/>
          <w:color w:val="000000" w:themeColor="text1"/>
          <w:sz w:val="21"/>
          <w:szCs w:val="21"/>
        </w:rPr>
        <w:t>ducation 2030, le Cadre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Action de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UNESCO souligne à plusieurs reprises à quel point il est important que les enseignant(e)s qualifié(e)s et formé(e)s soient « soutenu(e)s au sein de systèmes […] dotés de ressources suffisantes » et la nécessité de rendre accessibles « les manuels, les autres supports et technologies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 xml:space="preserve">apprentissage et les ressources éducatives libres », qui doivent du reste être « adaptés ». </w:t>
      </w:r>
    </w:p>
    <w:p w14:paraId="57192662" w14:textId="77777777" w:rsidR="00AE0B41" w:rsidRPr="00326C0A" w:rsidRDefault="00AE0B41" w:rsidP="00AE0B41">
      <w:pPr>
        <w:pStyle w:val="ListParagraph"/>
        <w:rPr>
          <w:rFonts w:ascii="Open Sans" w:eastAsia="Calibri" w:hAnsi="Open Sans" w:cs="Lucida Grande"/>
          <w:color w:val="000000"/>
          <w:sz w:val="21"/>
          <w:szCs w:val="21"/>
          <w:lang w:eastAsia="en-GB"/>
        </w:rPr>
      </w:pPr>
    </w:p>
    <w:p w14:paraId="7AE273C3" w14:textId="673B7CD1" w:rsidR="00AE0B41" w:rsidRPr="00393392" w:rsidRDefault="00AE0B41" w:rsidP="00634DD4">
      <w:pPr>
        <w:pStyle w:val="ListParagraph"/>
        <w:numPr>
          <w:ilvl w:val="0"/>
          <w:numId w:val="3"/>
        </w:numPr>
        <w:rPr>
          <w:rFonts w:ascii="Open Sans" w:eastAsia="Calibri" w:hAnsi="Open Sans" w:cs="Lucida Grande"/>
          <w:b/>
          <w:color w:val="000000"/>
          <w:sz w:val="21"/>
          <w:szCs w:val="21"/>
          <w:u w:val="single"/>
        </w:rPr>
      </w:pPr>
      <w:r>
        <w:rPr>
          <w:rFonts w:ascii="Open Sans" w:hAnsi="Open Sans"/>
          <w:color w:val="000000" w:themeColor="text1"/>
          <w:sz w:val="21"/>
          <w:szCs w:val="21"/>
        </w:rPr>
        <w:t>Promouvoir la nécessité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établir au niveau international des normes minimales en matière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exceptions au droit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auteur à des fins non commerciales, pédagogiques et de recherche. Paradoxalement, au niveau international, l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 w:rsidR="00634DD4" w:rsidRPr="00634DD4">
        <w:rPr>
          <w:rFonts w:ascii="Open Sans" w:hAnsi="Open Sans"/>
          <w:color w:val="000000" w:themeColor="text1"/>
          <w:sz w:val="21"/>
          <w:szCs w:val="21"/>
        </w:rPr>
        <w:t>Union Européenne</w:t>
      </w:r>
      <w:r w:rsidR="00AE5429">
        <w:rPr>
          <w:rFonts w:ascii="Open Sans" w:hAnsi="Open Sans"/>
          <w:color w:val="000000" w:themeColor="text1"/>
          <w:sz w:val="21"/>
          <w:szCs w:val="21"/>
        </w:rPr>
        <w:t xml:space="preserve"> </w:t>
      </w:r>
      <w:r>
        <w:rPr>
          <w:rFonts w:ascii="Open Sans" w:hAnsi="Open Sans"/>
          <w:color w:val="000000" w:themeColor="text1"/>
          <w:sz w:val="21"/>
          <w:szCs w:val="21"/>
        </w:rPr>
        <w:t>et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 w:rsidR="00A52B62">
        <w:rPr>
          <w:rFonts w:ascii="Open Sans" w:hAnsi="Open Sans"/>
          <w:color w:val="000000" w:themeColor="text1"/>
          <w:sz w:val="21"/>
          <w:szCs w:val="21"/>
        </w:rPr>
        <w:t>autres E</w:t>
      </w:r>
      <w:r>
        <w:rPr>
          <w:rFonts w:ascii="Open Sans" w:hAnsi="Open Sans"/>
          <w:color w:val="000000" w:themeColor="text1"/>
          <w:sz w:val="21"/>
          <w:szCs w:val="21"/>
        </w:rPr>
        <w:t>tats appliquant des exceptions obligatoires s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opposent à la demande d</w:t>
      </w:r>
      <w:r w:rsidR="009B64A7">
        <w:rPr>
          <w:rFonts w:ascii="Open Sans" w:hAnsi="Open Sans"/>
          <w:color w:val="000000" w:themeColor="text1"/>
          <w:sz w:val="21"/>
          <w:szCs w:val="21"/>
        </w:rPr>
        <w:t>’</w:t>
      </w:r>
      <w:r>
        <w:rPr>
          <w:rFonts w:ascii="Open Sans" w:hAnsi="Open Sans"/>
          <w:color w:val="000000" w:themeColor="text1"/>
          <w:sz w:val="21"/>
          <w:szCs w:val="21"/>
        </w:rPr>
        <w:t>élaboration de normes minimales émanant des pays en développement. Cette hypocrisie doit cesser.</w:t>
      </w:r>
    </w:p>
    <w:p w14:paraId="5C7FEAD6" w14:textId="6C92C986" w:rsidR="00AE0B41" w:rsidRDefault="00A52B62" w:rsidP="00AE0B41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Pour toutes </w:t>
      </w:r>
      <w:r w:rsidR="00AE0B41">
        <w:rPr>
          <w:rFonts w:ascii="Open Sans" w:hAnsi="Open Sans"/>
          <w:sz w:val="21"/>
          <w:szCs w:val="21"/>
        </w:rPr>
        <w:t>questions, n</w:t>
      </w:r>
      <w:r w:rsidR="009B64A7">
        <w:rPr>
          <w:rFonts w:ascii="Open Sans" w:hAnsi="Open Sans"/>
          <w:sz w:val="21"/>
          <w:szCs w:val="21"/>
        </w:rPr>
        <w:t>’</w:t>
      </w:r>
      <w:r w:rsidR="00AE0B41">
        <w:rPr>
          <w:rFonts w:ascii="Open Sans" w:hAnsi="Open Sans"/>
          <w:sz w:val="21"/>
          <w:szCs w:val="21"/>
        </w:rPr>
        <w:t>hésitez pas à revenir vers nous.</w:t>
      </w:r>
    </w:p>
    <w:p w14:paraId="3260FC45" w14:textId="77777777" w:rsidR="00AE0B41" w:rsidRDefault="00AE0B41" w:rsidP="00AE0B41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Meilleures salutations,</w:t>
      </w:r>
    </w:p>
    <w:p w14:paraId="5FEAAF40" w14:textId="21E22AB0" w:rsidR="003B1D8C" w:rsidRPr="000A3C86" w:rsidRDefault="00AE0B41">
      <w:r>
        <w:rPr>
          <w:rFonts w:ascii="Open Sans" w:hAnsi="Open Sans"/>
          <w:sz w:val="21"/>
          <w:szCs w:val="21"/>
        </w:rPr>
        <w:t>[nom]</w:t>
      </w:r>
    </w:p>
    <w:sectPr w:rsidR="003B1D8C" w:rsidRPr="000A3C86" w:rsidSect="009A14A6">
      <w:headerReference w:type="default" r:id="rId10"/>
      <w:footerReference w:type="default" r:id="rId11"/>
      <w:footerReference w:type="first" r:id="rId12"/>
      <w:pgSz w:w="12240" w:h="15840" w:code="1"/>
      <w:pgMar w:top="42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723A" w14:textId="77777777" w:rsidR="00903160" w:rsidRDefault="00903160" w:rsidP="00AE0B41">
      <w:pPr>
        <w:spacing w:after="0" w:line="240" w:lineRule="auto"/>
      </w:pPr>
      <w:r>
        <w:separator/>
      </w:r>
    </w:p>
  </w:endnote>
  <w:endnote w:type="continuationSeparator" w:id="0">
    <w:p w14:paraId="78B0E7F6" w14:textId="77777777" w:rsidR="00903160" w:rsidRDefault="00903160" w:rsidP="00AE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860A" w14:textId="77777777" w:rsidR="009D3EBD" w:rsidRPr="00CE3FB5" w:rsidRDefault="00AE0B41" w:rsidP="009D3EBD">
    <w:pPr>
      <w:autoSpaceDE w:val="0"/>
      <w:autoSpaceDN w:val="0"/>
      <w:adjustRightInd w:val="0"/>
      <w:spacing w:after="0" w:line="240" w:lineRule="auto"/>
      <w:jc w:val="center"/>
      <w:rPr>
        <w:rFonts w:ascii="Open Sans" w:hAnsi="Open Sans" w:cs="Open Sans"/>
        <w:b/>
        <w:color w:val="A6A6A6" w:themeColor="background1" w:themeShade="A6"/>
        <w:sz w:val="15"/>
        <w:szCs w:val="15"/>
      </w:rPr>
    </w:pPr>
    <w:r w:rsidRPr="001C52D8">
      <w:rPr>
        <w:noProof/>
      </w:rPr>
      <w:drawing>
        <wp:anchor distT="0" distB="0" distL="114300" distR="114300" simplePos="0" relativeHeight="251659264" behindDoc="1" locked="0" layoutInCell="1" allowOverlap="1" wp14:anchorId="02AF9928" wp14:editId="25933B9F">
          <wp:simplePos x="0" y="0"/>
          <wp:positionH relativeFrom="margin">
            <wp:posOffset>0</wp:posOffset>
          </wp:positionH>
          <wp:positionV relativeFrom="page">
            <wp:posOffset>9177655</wp:posOffset>
          </wp:positionV>
          <wp:extent cx="361950" cy="3308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_logo_2017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6" t="13459" r="63666" b="11156"/>
                  <a:stretch/>
                </pic:blipFill>
                <pic:spPr bwMode="auto">
                  <a:xfrm>
                    <a:off x="0" y="0"/>
                    <a:ext cx="361950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2FD22" w14:textId="77777777" w:rsidR="009D3EBD" w:rsidRPr="00CE3FB5" w:rsidRDefault="0083143A" w:rsidP="009D3EBD">
    <w:pPr>
      <w:autoSpaceDE w:val="0"/>
      <w:autoSpaceDN w:val="0"/>
      <w:adjustRightInd w:val="0"/>
      <w:spacing w:after="0" w:line="240" w:lineRule="auto"/>
      <w:jc w:val="center"/>
      <w:rPr>
        <w:rFonts w:ascii="Open Sans" w:hAnsi="Open Sans" w:cs="Open Sans"/>
        <w:b/>
        <w:color w:val="A6A6A6" w:themeColor="background1" w:themeShade="A6"/>
        <w:sz w:val="15"/>
        <w:szCs w:val="15"/>
      </w:rPr>
    </w:pPr>
  </w:p>
  <w:p w14:paraId="0CE5D07B" w14:textId="77777777" w:rsidR="009D3EBD" w:rsidRPr="00CE3FB5" w:rsidRDefault="00AE0B41" w:rsidP="009D3EBD">
    <w:pPr>
      <w:autoSpaceDE w:val="0"/>
      <w:autoSpaceDN w:val="0"/>
      <w:adjustRightInd w:val="0"/>
      <w:spacing w:after="0" w:line="240" w:lineRule="auto"/>
      <w:ind w:left="567"/>
      <w:rPr>
        <w:rFonts w:ascii="Open Sans" w:hAnsi="Open Sans" w:cs="Open Sans"/>
        <w:color w:val="A6A6A6" w:themeColor="background1" w:themeShade="A6"/>
        <w:sz w:val="15"/>
        <w:szCs w:val="15"/>
      </w:rPr>
    </w:pPr>
    <w:r>
      <w:rPr>
        <w:rFonts w:ascii="Open Sans" w:hAnsi="Open Sans"/>
        <w:b/>
        <w:color w:val="A6A6A6" w:themeColor="background1" w:themeShade="A6"/>
        <w:sz w:val="15"/>
        <w:szCs w:val="15"/>
      </w:rPr>
      <w:t>International</w:t>
    </w:r>
    <w:r>
      <w:rPr>
        <w:rFonts w:ascii="Open Sans" w:hAnsi="Open Sans"/>
        <w:color w:val="A6A6A6" w:themeColor="background1" w:themeShade="A6"/>
        <w:sz w:val="15"/>
        <w:szCs w:val="15"/>
      </w:rPr>
      <w:t>e de l’Education · 5, Bd du Roi Albert II · 1210 Bruxelles, Belgique · headoffice@ei-ie.org · www.ei-ie.org</w:t>
    </w:r>
  </w:p>
  <w:p w14:paraId="677BAAF7" w14:textId="77777777" w:rsidR="00B2342F" w:rsidRPr="00765FF6" w:rsidRDefault="0083143A" w:rsidP="009D3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FE90" w14:textId="77777777" w:rsidR="002360A5" w:rsidRPr="00CE3FB5" w:rsidRDefault="0083143A" w:rsidP="00B2342F">
    <w:pPr>
      <w:tabs>
        <w:tab w:val="center" w:pos="4513"/>
        <w:tab w:val="right" w:pos="9026"/>
      </w:tabs>
      <w:spacing w:after="0" w:line="240" w:lineRule="auto"/>
      <w:jc w:val="center"/>
      <w:rPr>
        <w:rFonts w:ascii="Open Sans" w:eastAsia="Calibri" w:hAnsi="Open Sans" w:cs="Lucida Grande"/>
        <w:color w:val="A6A6A6" w:themeColor="background1" w:themeShade="A6"/>
        <w:sz w:val="15"/>
        <w:szCs w:val="21"/>
        <w:lang w:val="en-GB" w:eastAsia="en-GB"/>
      </w:rPr>
    </w:pPr>
  </w:p>
  <w:p w14:paraId="05F4AAF0" w14:textId="77777777" w:rsidR="002360A5" w:rsidRPr="00CE3FB5" w:rsidRDefault="0083143A" w:rsidP="00B2342F">
    <w:pPr>
      <w:tabs>
        <w:tab w:val="center" w:pos="4513"/>
        <w:tab w:val="right" w:pos="9026"/>
      </w:tabs>
      <w:spacing w:after="0" w:line="240" w:lineRule="auto"/>
      <w:jc w:val="center"/>
      <w:rPr>
        <w:rFonts w:ascii="Open Sans" w:eastAsia="Calibri" w:hAnsi="Open Sans" w:cs="Lucida Grande"/>
        <w:color w:val="A6A6A6" w:themeColor="background1" w:themeShade="A6"/>
        <w:sz w:val="15"/>
        <w:szCs w:val="21"/>
        <w:lang w:val="en-GB" w:eastAsia="en-GB"/>
      </w:rPr>
    </w:pPr>
  </w:p>
  <w:p w14:paraId="164E7DC0" w14:textId="77777777" w:rsidR="00B2342F" w:rsidRPr="000A1BDE" w:rsidRDefault="0083143A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9FD3" w14:textId="77777777" w:rsidR="00903160" w:rsidRDefault="00903160" w:rsidP="00AE0B41">
      <w:pPr>
        <w:spacing w:after="0" w:line="240" w:lineRule="auto"/>
      </w:pPr>
      <w:r>
        <w:separator/>
      </w:r>
    </w:p>
  </w:footnote>
  <w:footnote w:type="continuationSeparator" w:id="0">
    <w:p w14:paraId="2E5FE442" w14:textId="77777777" w:rsidR="00903160" w:rsidRDefault="00903160" w:rsidP="00AE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EC9B" w14:textId="440F07F4" w:rsidR="00C577C4" w:rsidRPr="00C577C4" w:rsidRDefault="00AE0B41" w:rsidP="00C577C4">
    <w:pPr>
      <w:framePr w:wrap="none" w:vAnchor="text" w:hAnchor="margin" w:xAlign="right" w:y="1"/>
      <w:tabs>
        <w:tab w:val="center" w:pos="4513"/>
        <w:tab w:val="right" w:pos="9026"/>
      </w:tabs>
      <w:spacing w:after="225" w:line="288" w:lineRule="auto"/>
      <w:jc w:val="right"/>
      <w:rPr>
        <w:rFonts w:ascii="Open Sans" w:eastAsia="Calibri" w:hAnsi="Open Sans" w:cs="Lucida Grande"/>
        <w:color w:val="0081BE"/>
        <w:sz w:val="20"/>
        <w:szCs w:val="21"/>
      </w:rPr>
    </w:pPr>
    <w:r w:rsidRPr="00C577C4">
      <w:rPr>
        <w:rFonts w:ascii="Open Sans" w:eastAsia="Calibri" w:hAnsi="Open Sans" w:cs="Lucida Grande"/>
        <w:color w:val="0081BE"/>
        <w:sz w:val="20"/>
        <w:szCs w:val="21"/>
      </w:rPr>
      <w:fldChar w:fldCharType="begin"/>
    </w:r>
    <w:r w:rsidRPr="00C577C4">
      <w:rPr>
        <w:rFonts w:ascii="Open Sans" w:eastAsia="Calibri" w:hAnsi="Open Sans" w:cs="Lucida Grande"/>
        <w:color w:val="0081BE"/>
        <w:sz w:val="20"/>
        <w:szCs w:val="21"/>
      </w:rPr>
      <w:instrText xml:space="preserve">PAGE  </w:instrText>
    </w:r>
    <w:r w:rsidRPr="00C577C4">
      <w:rPr>
        <w:rFonts w:ascii="Open Sans" w:eastAsia="Calibri" w:hAnsi="Open Sans" w:cs="Lucida Grande"/>
        <w:color w:val="0081BE"/>
        <w:sz w:val="20"/>
        <w:szCs w:val="21"/>
      </w:rPr>
      <w:fldChar w:fldCharType="separate"/>
    </w:r>
    <w:r w:rsidR="0083143A">
      <w:rPr>
        <w:rFonts w:ascii="Open Sans" w:eastAsia="Calibri" w:hAnsi="Open Sans" w:cs="Lucida Grande"/>
        <w:noProof/>
        <w:color w:val="0081BE"/>
        <w:sz w:val="20"/>
        <w:szCs w:val="21"/>
      </w:rPr>
      <w:t>2</w:t>
    </w:r>
    <w:r w:rsidRPr="00C577C4">
      <w:rPr>
        <w:rFonts w:ascii="Open Sans" w:eastAsia="Calibri" w:hAnsi="Open Sans" w:cs="Lucida Grande"/>
        <w:color w:val="0081BE"/>
        <w:sz w:val="20"/>
        <w:szCs w:val="21"/>
      </w:rPr>
      <w:fldChar w:fldCharType="end"/>
    </w:r>
  </w:p>
  <w:p w14:paraId="22F2C7E8" w14:textId="77777777" w:rsidR="00B728A6" w:rsidRDefault="0083143A">
    <w:pPr>
      <w:pStyle w:val="Header"/>
    </w:pPr>
  </w:p>
  <w:p w14:paraId="56EBE1B4" w14:textId="77777777" w:rsidR="00B728A6" w:rsidRDefault="00831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A09"/>
    <w:multiLevelType w:val="hybridMultilevel"/>
    <w:tmpl w:val="1EA631E8"/>
    <w:lvl w:ilvl="0" w:tplc="7CFE9CCE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Lucida Grande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CFA"/>
    <w:multiLevelType w:val="hybridMultilevel"/>
    <w:tmpl w:val="0226C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2FB7"/>
    <w:multiLevelType w:val="hybridMultilevel"/>
    <w:tmpl w:val="1EA631E8"/>
    <w:lvl w:ilvl="0" w:tplc="7CFE9CCE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Lucida Grande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41"/>
    <w:rsid w:val="000A3C86"/>
    <w:rsid w:val="00326C0A"/>
    <w:rsid w:val="003B1D8C"/>
    <w:rsid w:val="004D3FB1"/>
    <w:rsid w:val="005B683C"/>
    <w:rsid w:val="00634DD4"/>
    <w:rsid w:val="0064153A"/>
    <w:rsid w:val="0083143A"/>
    <w:rsid w:val="00903160"/>
    <w:rsid w:val="009B64A7"/>
    <w:rsid w:val="00A52B62"/>
    <w:rsid w:val="00A64D5F"/>
    <w:rsid w:val="00A65A87"/>
    <w:rsid w:val="00A80D28"/>
    <w:rsid w:val="00AE0B41"/>
    <w:rsid w:val="00AE5429"/>
    <w:rsid w:val="00E91273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2FF12"/>
  <w15:chartTrackingRefBased/>
  <w15:docId w15:val="{8D368214-93C9-42C0-915C-64FFEB4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B41"/>
  </w:style>
  <w:style w:type="paragraph" w:styleId="Heading1">
    <w:name w:val="heading 1"/>
    <w:basedOn w:val="Normal"/>
    <w:next w:val="Normal"/>
    <w:link w:val="Heading1Char"/>
    <w:uiPriority w:val="9"/>
    <w:qFormat/>
    <w:rsid w:val="00E91273"/>
    <w:pPr>
      <w:keepNext/>
      <w:keepLines/>
      <w:spacing w:before="240" w:after="0"/>
      <w:outlineLvl w:val="0"/>
    </w:pPr>
    <w:rPr>
      <w:rFonts w:ascii="Titillium" w:eastAsiaTheme="majorEastAsia" w:hAnsi="Titillium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273"/>
    <w:pPr>
      <w:keepNext/>
      <w:keepLines/>
      <w:spacing w:before="40" w:after="0"/>
      <w:outlineLvl w:val="1"/>
    </w:pPr>
    <w:rPr>
      <w:rFonts w:ascii="Titillium" w:eastAsiaTheme="majorEastAsia" w:hAnsi="Titillium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273"/>
    <w:pPr>
      <w:keepNext/>
      <w:keepLines/>
      <w:spacing w:before="40" w:after="0"/>
      <w:outlineLvl w:val="2"/>
    </w:pPr>
    <w:rPr>
      <w:rFonts w:ascii="Titillium" w:eastAsiaTheme="majorEastAsia" w:hAnsi="Titillium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273"/>
    <w:pPr>
      <w:keepNext/>
      <w:keepLines/>
      <w:spacing w:before="40" w:after="0"/>
      <w:outlineLvl w:val="3"/>
    </w:pPr>
    <w:rPr>
      <w:rFonts w:ascii="Titillium" w:eastAsiaTheme="majorEastAsia" w:hAnsi="Titillium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273"/>
    <w:rPr>
      <w:rFonts w:ascii="Titillium" w:eastAsiaTheme="majorEastAsia" w:hAnsi="Titillium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273"/>
    <w:rPr>
      <w:rFonts w:ascii="Titillium" w:eastAsiaTheme="majorEastAsia" w:hAnsi="Titillium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273"/>
    <w:rPr>
      <w:rFonts w:ascii="Titillium" w:eastAsiaTheme="majorEastAsia" w:hAnsi="Titillium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273"/>
    <w:rPr>
      <w:rFonts w:ascii="Titillium" w:eastAsiaTheme="majorEastAsia" w:hAnsi="Titillium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E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E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1"/>
    <w:rPr>
      <w:lang w:val="fr-FR"/>
    </w:rPr>
  </w:style>
  <w:style w:type="character" w:styleId="Hyperlink">
    <w:name w:val="Hyperlink"/>
    <w:basedOn w:val="DefaultParagraphFont"/>
    <w:uiPriority w:val="99"/>
    <w:unhideWhenUsed/>
    <w:rsid w:val="00AE0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FBD14DB7-8E0E-451F-B254-79D200652635}"/>
</file>

<file path=customXml/itemProps2.xml><?xml version="1.0" encoding="utf-8"?>
<ds:datastoreItem xmlns:ds="http://schemas.openxmlformats.org/officeDocument/2006/customXml" ds:itemID="{07FAFE7A-A572-467C-AB67-8894CC8DF064}"/>
</file>

<file path=customXml/itemProps3.xml><?xml version="1.0" encoding="utf-8"?>
<ds:datastoreItem xmlns:ds="http://schemas.openxmlformats.org/officeDocument/2006/customXml" ds:itemID="{26B9D696-676B-44EF-91C5-A5CF58FDF0FB}"/>
</file>

<file path=customXml/itemProps4.xml><?xml version="1.0" encoding="utf-8"?>
<ds:datastoreItem xmlns:ds="http://schemas.openxmlformats.org/officeDocument/2006/customXml" ds:itemID="{D57C3148-D308-4A93-BF12-7D135EE97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Wachter</dc:creator>
  <cp:keywords/>
  <dc:description/>
  <cp:lastModifiedBy>Nikola Wachter</cp:lastModifiedBy>
  <cp:revision>2</cp:revision>
  <dcterms:created xsi:type="dcterms:W3CDTF">2017-10-31T09:23:00Z</dcterms:created>
  <dcterms:modified xsi:type="dcterms:W3CDTF">2017-10-31T09:23:00Z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