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171D" w14:textId="5E9F3AD9" w:rsidR="0043546B" w:rsidRPr="0043546B" w:rsidRDefault="007F7F9E" w:rsidP="0043546B">
      <w:pPr>
        <w:spacing w:after="120"/>
        <w:jc w:val="center"/>
        <w:rPr>
          <w:rFonts w:asciiTheme="majorHAnsi" w:hAnsiTheme="majorHAnsi"/>
          <w:b/>
        </w:rPr>
      </w:pPr>
      <w:r w:rsidRPr="00FE5BE3">
        <w:rPr>
          <w:rFonts w:asciiTheme="majorHAnsi" w:hAnsiTheme="majorHAnsi"/>
          <w:b/>
        </w:rPr>
        <w:t xml:space="preserve">‘Always </w:t>
      </w:r>
      <w:proofErr w:type="spellStart"/>
      <w:r w:rsidRPr="00FE5BE3">
        <w:rPr>
          <w:rFonts w:asciiTheme="majorHAnsi" w:hAnsiTheme="majorHAnsi"/>
          <w:b/>
        </w:rPr>
        <w:t>L</w:t>
      </w:r>
      <w:r w:rsidR="00375F6E">
        <w:rPr>
          <w:rFonts w:asciiTheme="majorHAnsi" w:hAnsiTheme="majorHAnsi"/>
          <w:b/>
        </w:rPr>
        <w:t>’</w:t>
      </w:r>
      <w:r w:rsidRPr="00FE5BE3">
        <w:rPr>
          <w:rFonts w:asciiTheme="majorHAnsi" w:hAnsiTheme="majorHAnsi"/>
          <w:b/>
        </w:rPr>
        <w:t>earning</w:t>
      </w:r>
      <w:proofErr w:type="spellEnd"/>
      <w:r w:rsidRPr="00FE5BE3">
        <w:rPr>
          <w:rFonts w:asciiTheme="majorHAnsi" w:hAnsiTheme="majorHAnsi"/>
          <w:b/>
        </w:rPr>
        <w:t xml:space="preserve">’: </w:t>
      </w:r>
      <w:r w:rsidR="00D314C0">
        <w:rPr>
          <w:rFonts w:asciiTheme="majorHAnsi" w:hAnsiTheme="majorHAnsi"/>
          <w:b/>
        </w:rPr>
        <w:t>C</w:t>
      </w:r>
      <w:r w:rsidR="00937571">
        <w:rPr>
          <w:rFonts w:asciiTheme="majorHAnsi" w:hAnsiTheme="majorHAnsi"/>
          <w:b/>
        </w:rPr>
        <w:t xml:space="preserve">oncerns and </w:t>
      </w:r>
      <w:r w:rsidR="00375F6E">
        <w:rPr>
          <w:rFonts w:asciiTheme="majorHAnsi" w:hAnsiTheme="majorHAnsi"/>
          <w:b/>
        </w:rPr>
        <w:t>contradictions in Pearson’s global business strategy</w:t>
      </w:r>
    </w:p>
    <w:p w14:paraId="2BCF5621" w14:textId="463028ED" w:rsidR="004619C6" w:rsidRPr="009E2ADC" w:rsidRDefault="00375F6E" w:rsidP="00E92A8C">
      <w:pPr>
        <w:spacing w:after="120"/>
        <w:jc w:val="center"/>
        <w:rPr>
          <w:rFonts w:asciiTheme="majorHAnsi" w:hAnsiTheme="majorHAnsi"/>
        </w:rPr>
      </w:pPr>
      <w:r w:rsidRPr="009E2ADC">
        <w:rPr>
          <w:rFonts w:asciiTheme="majorHAnsi" w:hAnsiTheme="majorHAnsi"/>
        </w:rPr>
        <w:t>Anna Hogan</w:t>
      </w:r>
    </w:p>
    <w:p w14:paraId="3A2CAABF" w14:textId="34FD79D4" w:rsidR="0043546B" w:rsidRPr="00AD1CCA" w:rsidRDefault="009E2ADC" w:rsidP="00AD1CCA">
      <w:pPr>
        <w:spacing w:after="120"/>
        <w:jc w:val="center"/>
        <w:rPr>
          <w:rFonts w:asciiTheme="majorHAnsi" w:hAnsiTheme="majorHAnsi"/>
          <w:i/>
        </w:rPr>
      </w:pPr>
      <w:r w:rsidRPr="009E2ADC">
        <w:rPr>
          <w:rFonts w:asciiTheme="majorHAnsi" w:hAnsiTheme="majorHAnsi"/>
          <w:i/>
        </w:rPr>
        <w:t>The University of Queensland</w:t>
      </w:r>
    </w:p>
    <w:p w14:paraId="0C0FCCF6" w14:textId="2BA1E665" w:rsidR="00596D8B" w:rsidRDefault="0043546B" w:rsidP="00BE3A93">
      <w:pPr>
        <w:spacing w:after="120"/>
        <w:rPr>
          <w:rFonts w:asciiTheme="majorHAnsi" w:hAnsiTheme="majorHAnsi"/>
          <w:b/>
          <w:i/>
        </w:rPr>
      </w:pPr>
      <w:r>
        <w:rPr>
          <w:rFonts w:asciiTheme="majorHAnsi" w:hAnsiTheme="majorHAnsi"/>
          <w:b/>
          <w:i/>
        </w:rPr>
        <w:t xml:space="preserve">Introduction </w:t>
      </w:r>
    </w:p>
    <w:p w14:paraId="5341B11C" w14:textId="08F3256C" w:rsidR="00E07574" w:rsidRPr="00FE5BE3" w:rsidRDefault="007F7F9E" w:rsidP="00BE3A93">
      <w:pPr>
        <w:spacing w:after="120"/>
        <w:rPr>
          <w:rFonts w:asciiTheme="majorHAnsi" w:hAnsiTheme="majorHAnsi"/>
        </w:rPr>
      </w:pPr>
      <w:r w:rsidRPr="00FE5BE3">
        <w:rPr>
          <w:rFonts w:asciiTheme="majorHAnsi" w:hAnsiTheme="majorHAnsi"/>
        </w:rPr>
        <w:t xml:space="preserve">The focus of this </w:t>
      </w:r>
      <w:r w:rsidR="009E2ADC">
        <w:rPr>
          <w:rFonts w:asciiTheme="majorHAnsi" w:hAnsiTheme="majorHAnsi"/>
        </w:rPr>
        <w:t>paper</w:t>
      </w:r>
      <w:r w:rsidR="000C3E41" w:rsidRPr="00FE5BE3">
        <w:rPr>
          <w:rFonts w:asciiTheme="majorHAnsi" w:hAnsiTheme="majorHAnsi"/>
        </w:rPr>
        <w:t xml:space="preserve"> </w:t>
      </w:r>
      <w:r w:rsidRPr="00FE5BE3">
        <w:rPr>
          <w:rFonts w:asciiTheme="majorHAnsi" w:hAnsiTheme="majorHAnsi"/>
        </w:rPr>
        <w:t xml:space="preserve">is on the world’s largest edu-business, Pearson plc. </w:t>
      </w:r>
      <w:r w:rsidR="00070FE0" w:rsidRPr="00FE5BE3">
        <w:rPr>
          <w:rFonts w:asciiTheme="majorHAnsi" w:hAnsiTheme="majorHAnsi"/>
        </w:rPr>
        <w:t>But while Pearson is in the spotlight</w:t>
      </w:r>
      <w:r w:rsidR="00252A88" w:rsidRPr="00FE5BE3">
        <w:rPr>
          <w:rFonts w:asciiTheme="majorHAnsi" w:hAnsiTheme="majorHAnsi"/>
        </w:rPr>
        <w:t>,</w:t>
      </w:r>
      <w:r w:rsidR="00070FE0" w:rsidRPr="00FE5BE3">
        <w:rPr>
          <w:rFonts w:asciiTheme="majorHAnsi" w:hAnsiTheme="majorHAnsi"/>
        </w:rPr>
        <w:t xml:space="preserve"> it is important to note that </w:t>
      </w:r>
      <w:r w:rsidR="00CA380C">
        <w:rPr>
          <w:rFonts w:asciiTheme="majorHAnsi" w:hAnsiTheme="majorHAnsi"/>
        </w:rPr>
        <w:t>it is only one part of the</w:t>
      </w:r>
      <w:r w:rsidR="00070FE0" w:rsidRPr="00FE5BE3">
        <w:rPr>
          <w:rFonts w:asciiTheme="majorHAnsi" w:hAnsiTheme="majorHAnsi"/>
        </w:rPr>
        <w:t xml:space="preserve"> much broader phenomenon, namely the explosion of </w:t>
      </w:r>
      <w:r w:rsidR="000C3E41" w:rsidRPr="00FE5BE3">
        <w:rPr>
          <w:rFonts w:asciiTheme="majorHAnsi" w:hAnsiTheme="majorHAnsi"/>
        </w:rPr>
        <w:t xml:space="preserve">commercial </w:t>
      </w:r>
      <w:r w:rsidR="00070FE0" w:rsidRPr="00FE5BE3">
        <w:rPr>
          <w:rFonts w:asciiTheme="majorHAnsi" w:hAnsiTheme="majorHAnsi"/>
        </w:rPr>
        <w:t xml:space="preserve">entities seeking to profit </w:t>
      </w:r>
      <w:r w:rsidR="000C3E41" w:rsidRPr="00FE5BE3">
        <w:rPr>
          <w:rFonts w:asciiTheme="majorHAnsi" w:hAnsiTheme="majorHAnsi"/>
        </w:rPr>
        <w:t xml:space="preserve">from </w:t>
      </w:r>
      <w:r w:rsidR="00070FE0" w:rsidRPr="00FE5BE3">
        <w:rPr>
          <w:rFonts w:asciiTheme="majorHAnsi" w:hAnsiTheme="majorHAnsi"/>
        </w:rPr>
        <w:t xml:space="preserve">various aspects of public education. </w:t>
      </w:r>
      <w:r w:rsidR="00353C6B" w:rsidRPr="00FE5BE3">
        <w:rPr>
          <w:rFonts w:asciiTheme="majorHAnsi" w:hAnsiTheme="majorHAnsi"/>
        </w:rPr>
        <w:t xml:space="preserve">The rapid growth of the global education industry is set against </w:t>
      </w:r>
      <w:r w:rsidR="0030663F" w:rsidRPr="00FE5BE3">
        <w:rPr>
          <w:rFonts w:asciiTheme="majorHAnsi" w:hAnsiTheme="majorHAnsi"/>
        </w:rPr>
        <w:t>shifting governance structures where national governments now look to the private sector for ‘solutions’ to their various education ‘problems’ (Ball, 2012). In the Global North this relationship is</w:t>
      </w:r>
      <w:r w:rsidR="00653D39" w:rsidRPr="00FE5BE3">
        <w:rPr>
          <w:rFonts w:asciiTheme="majorHAnsi" w:hAnsiTheme="majorHAnsi"/>
        </w:rPr>
        <w:t xml:space="preserve"> formed on the basis of testing and</w:t>
      </w:r>
      <w:r w:rsidR="0030663F" w:rsidRPr="00FE5BE3">
        <w:rPr>
          <w:rFonts w:asciiTheme="majorHAnsi" w:hAnsiTheme="majorHAnsi"/>
        </w:rPr>
        <w:t xml:space="preserve"> accountability</w:t>
      </w:r>
      <w:r w:rsidR="00653D39" w:rsidRPr="00FE5BE3">
        <w:rPr>
          <w:rFonts w:asciiTheme="majorHAnsi" w:hAnsiTheme="majorHAnsi"/>
        </w:rPr>
        <w:t xml:space="preserve"> infrastructures</w:t>
      </w:r>
      <w:r w:rsidR="0030663F" w:rsidRPr="00FE5BE3">
        <w:rPr>
          <w:rFonts w:asciiTheme="majorHAnsi" w:hAnsiTheme="majorHAnsi"/>
        </w:rPr>
        <w:t xml:space="preserve">, data management and online learning needs. In the Global South the focus has been on the rapid expansion of low-fee, for-profit schools in the absence of quality public schooling. </w:t>
      </w:r>
    </w:p>
    <w:p w14:paraId="6F0350CA" w14:textId="1308A39F" w:rsidR="00A804E7" w:rsidRPr="00FE5BE3" w:rsidRDefault="00E07574" w:rsidP="00BE3A93">
      <w:pPr>
        <w:spacing w:after="120"/>
        <w:rPr>
          <w:rFonts w:asciiTheme="majorHAnsi" w:hAnsiTheme="majorHAnsi"/>
        </w:rPr>
      </w:pPr>
      <w:r w:rsidRPr="00FE5BE3">
        <w:rPr>
          <w:rFonts w:asciiTheme="majorHAnsi" w:hAnsiTheme="majorHAnsi"/>
        </w:rPr>
        <w:t xml:space="preserve">By capitalising on these global needs, </w:t>
      </w:r>
      <w:r w:rsidR="0030663F" w:rsidRPr="00FE5BE3">
        <w:rPr>
          <w:rFonts w:asciiTheme="majorHAnsi" w:hAnsiTheme="majorHAnsi"/>
        </w:rPr>
        <w:t xml:space="preserve">Pearson </w:t>
      </w:r>
      <w:r w:rsidRPr="00FE5BE3">
        <w:rPr>
          <w:rFonts w:asciiTheme="majorHAnsi" w:hAnsiTheme="majorHAnsi"/>
        </w:rPr>
        <w:t xml:space="preserve">generated </w:t>
      </w:r>
      <w:r w:rsidR="00653D39" w:rsidRPr="00FE5BE3">
        <w:rPr>
          <w:rFonts w:asciiTheme="majorHAnsi" w:hAnsiTheme="majorHAnsi"/>
        </w:rPr>
        <w:t xml:space="preserve">£4.9 billion in sales and </w:t>
      </w:r>
      <w:r w:rsidR="005A0B2F" w:rsidRPr="00FE5BE3">
        <w:rPr>
          <w:rFonts w:asciiTheme="majorHAnsi" w:hAnsiTheme="majorHAnsi"/>
        </w:rPr>
        <w:t xml:space="preserve">had </w:t>
      </w:r>
      <w:r w:rsidR="00653D39" w:rsidRPr="00FE5BE3">
        <w:rPr>
          <w:rFonts w:asciiTheme="majorHAnsi" w:hAnsiTheme="majorHAnsi"/>
        </w:rPr>
        <w:t xml:space="preserve">an adjusted operating profit of £720 million during 2014. </w:t>
      </w:r>
      <w:r w:rsidRPr="00FE5BE3">
        <w:rPr>
          <w:rFonts w:asciiTheme="majorHAnsi" w:hAnsiTheme="majorHAnsi"/>
        </w:rPr>
        <w:t>These results netted Pearson</w:t>
      </w:r>
      <w:r w:rsidR="000C31ED" w:rsidRPr="00FE5BE3">
        <w:rPr>
          <w:rFonts w:asciiTheme="majorHAnsi" w:hAnsiTheme="majorHAnsi"/>
        </w:rPr>
        <w:t xml:space="preserve"> shareholders</w:t>
      </w:r>
      <w:r w:rsidR="00063116" w:rsidRPr="00FE5BE3">
        <w:rPr>
          <w:rFonts w:asciiTheme="majorHAnsi" w:hAnsiTheme="majorHAnsi"/>
        </w:rPr>
        <w:t xml:space="preserve"> a 32% increase in their share price </w:t>
      </w:r>
      <w:r w:rsidR="00CF1624" w:rsidRPr="00FE5BE3">
        <w:rPr>
          <w:rFonts w:asciiTheme="majorHAnsi" w:hAnsiTheme="majorHAnsi"/>
        </w:rPr>
        <w:t>over the previous 12 months</w:t>
      </w:r>
      <w:r w:rsidR="00063116" w:rsidRPr="00FE5BE3">
        <w:rPr>
          <w:rFonts w:asciiTheme="majorHAnsi" w:hAnsiTheme="majorHAnsi"/>
        </w:rPr>
        <w:t xml:space="preserve"> and made it the 23</w:t>
      </w:r>
      <w:r w:rsidR="00063116" w:rsidRPr="00FE5BE3">
        <w:rPr>
          <w:rFonts w:asciiTheme="majorHAnsi" w:hAnsiTheme="majorHAnsi"/>
          <w:vertAlign w:val="superscript"/>
        </w:rPr>
        <w:t>rd</w:t>
      </w:r>
      <w:r w:rsidR="00063116" w:rsidRPr="00FE5BE3">
        <w:rPr>
          <w:rFonts w:asciiTheme="majorHAnsi" w:hAnsiTheme="majorHAnsi"/>
        </w:rPr>
        <w:t xml:space="preserve"> consecutive year for increased dividends per share (Pearson annual report, 2015). The</w:t>
      </w:r>
      <w:r w:rsidR="005A0B2F" w:rsidRPr="00FE5BE3">
        <w:rPr>
          <w:rFonts w:asciiTheme="majorHAnsi" w:hAnsiTheme="majorHAnsi"/>
        </w:rPr>
        <w:t>se impressive</w:t>
      </w:r>
      <w:r w:rsidR="00063116" w:rsidRPr="00FE5BE3">
        <w:rPr>
          <w:rFonts w:asciiTheme="majorHAnsi" w:hAnsiTheme="majorHAnsi"/>
        </w:rPr>
        <w:t xml:space="preserve"> statistics </w:t>
      </w:r>
      <w:r w:rsidR="000C3E41" w:rsidRPr="00FE5BE3">
        <w:rPr>
          <w:rFonts w:asciiTheme="majorHAnsi" w:hAnsiTheme="majorHAnsi"/>
        </w:rPr>
        <w:t>show</w:t>
      </w:r>
      <w:r w:rsidR="00063116" w:rsidRPr="00FE5BE3">
        <w:rPr>
          <w:rFonts w:asciiTheme="majorHAnsi" w:hAnsiTheme="majorHAnsi"/>
        </w:rPr>
        <w:t xml:space="preserve"> that Pearson</w:t>
      </w:r>
      <w:r w:rsidR="00A804E7" w:rsidRPr="00FE5BE3">
        <w:rPr>
          <w:rFonts w:asciiTheme="majorHAnsi" w:hAnsiTheme="majorHAnsi"/>
        </w:rPr>
        <w:t xml:space="preserve"> is an incredibly successful business</w:t>
      </w:r>
      <w:r w:rsidR="005A0B2F" w:rsidRPr="00FE5BE3">
        <w:rPr>
          <w:rFonts w:asciiTheme="majorHAnsi" w:hAnsiTheme="majorHAnsi"/>
        </w:rPr>
        <w:t>,</w:t>
      </w:r>
      <w:r w:rsidR="00A804E7" w:rsidRPr="00FE5BE3">
        <w:rPr>
          <w:rFonts w:asciiTheme="majorHAnsi" w:hAnsiTheme="majorHAnsi"/>
        </w:rPr>
        <w:t xml:space="preserve"> committed to increasing</w:t>
      </w:r>
      <w:r w:rsidRPr="00FE5BE3">
        <w:rPr>
          <w:rFonts w:asciiTheme="majorHAnsi" w:hAnsiTheme="majorHAnsi"/>
        </w:rPr>
        <w:t xml:space="preserve"> profits for its shareholders. However, t</w:t>
      </w:r>
      <w:r w:rsidR="00A804E7" w:rsidRPr="00FE5BE3">
        <w:rPr>
          <w:rFonts w:asciiTheme="majorHAnsi" w:hAnsiTheme="majorHAnsi"/>
        </w:rPr>
        <w:t>he obvious concern for many of us committed to democratic public schooling is how the public interest can be supported</w:t>
      </w:r>
      <w:r w:rsidR="00CF1624" w:rsidRPr="00FE5BE3">
        <w:rPr>
          <w:rFonts w:asciiTheme="majorHAnsi" w:hAnsiTheme="majorHAnsi"/>
        </w:rPr>
        <w:t xml:space="preserve"> by edu-businesses</w:t>
      </w:r>
      <w:r w:rsidR="00A804E7" w:rsidRPr="00FE5BE3">
        <w:rPr>
          <w:rFonts w:asciiTheme="majorHAnsi" w:hAnsiTheme="majorHAnsi"/>
        </w:rPr>
        <w:t xml:space="preserve"> when profit making is the</w:t>
      </w:r>
      <w:r w:rsidR="009F683E" w:rsidRPr="00FE5BE3">
        <w:rPr>
          <w:rFonts w:asciiTheme="majorHAnsi" w:hAnsiTheme="majorHAnsi"/>
        </w:rPr>
        <w:t>ir</w:t>
      </w:r>
      <w:r w:rsidR="00A804E7" w:rsidRPr="00FE5BE3">
        <w:rPr>
          <w:rFonts w:asciiTheme="majorHAnsi" w:hAnsiTheme="majorHAnsi"/>
        </w:rPr>
        <w:t xml:space="preserve"> </w:t>
      </w:r>
      <w:r w:rsidRPr="00FE5BE3">
        <w:rPr>
          <w:rFonts w:asciiTheme="majorHAnsi" w:hAnsiTheme="majorHAnsi"/>
        </w:rPr>
        <w:t>bottom line</w:t>
      </w:r>
      <w:r w:rsidR="00A804E7" w:rsidRPr="00FE5BE3">
        <w:rPr>
          <w:rFonts w:asciiTheme="majorHAnsi" w:hAnsiTheme="majorHAnsi"/>
        </w:rPr>
        <w:t>?</w:t>
      </w:r>
    </w:p>
    <w:p w14:paraId="520A8199" w14:textId="17E8C6EF" w:rsidR="009478D4" w:rsidRPr="00FE5BE3" w:rsidRDefault="005A0B2F" w:rsidP="00BE3A93">
      <w:pPr>
        <w:spacing w:after="120"/>
        <w:rPr>
          <w:rFonts w:asciiTheme="majorHAnsi" w:hAnsiTheme="majorHAnsi" w:cs="Verdana"/>
          <w:color w:val="101010"/>
        </w:rPr>
      </w:pPr>
      <w:r w:rsidRPr="00FE5BE3">
        <w:rPr>
          <w:rFonts w:asciiTheme="majorHAnsi" w:hAnsiTheme="majorHAnsi"/>
        </w:rPr>
        <w:t xml:space="preserve">This concern has been the focus of much critique </w:t>
      </w:r>
      <w:r w:rsidR="000C3E41" w:rsidRPr="00FE5BE3">
        <w:rPr>
          <w:rFonts w:asciiTheme="majorHAnsi" w:hAnsiTheme="majorHAnsi"/>
        </w:rPr>
        <w:t>of</w:t>
      </w:r>
      <w:r w:rsidRPr="00FE5BE3">
        <w:rPr>
          <w:rFonts w:asciiTheme="majorHAnsi" w:hAnsiTheme="majorHAnsi"/>
        </w:rPr>
        <w:t xml:space="preserve"> Pearson, </w:t>
      </w:r>
      <w:r w:rsidR="00022698" w:rsidRPr="00FE5BE3">
        <w:rPr>
          <w:rFonts w:asciiTheme="majorHAnsi" w:hAnsiTheme="majorHAnsi"/>
        </w:rPr>
        <w:t xml:space="preserve">particularly in the United States where </w:t>
      </w:r>
      <w:r w:rsidR="000C3E41" w:rsidRPr="00FE5BE3">
        <w:rPr>
          <w:rFonts w:asciiTheme="majorHAnsi" w:hAnsiTheme="majorHAnsi"/>
        </w:rPr>
        <w:t xml:space="preserve">the company’s </w:t>
      </w:r>
      <w:r w:rsidR="00022698" w:rsidRPr="00FE5BE3">
        <w:rPr>
          <w:rFonts w:asciiTheme="majorHAnsi" w:hAnsiTheme="majorHAnsi"/>
        </w:rPr>
        <w:t xml:space="preserve">influence is currently felt to be most pervasive (see </w:t>
      </w:r>
      <w:proofErr w:type="spellStart"/>
      <w:r w:rsidR="00022698" w:rsidRPr="00FE5BE3">
        <w:rPr>
          <w:rFonts w:asciiTheme="majorHAnsi" w:hAnsiTheme="majorHAnsi"/>
        </w:rPr>
        <w:t>Ravitch</w:t>
      </w:r>
      <w:proofErr w:type="spellEnd"/>
      <w:r w:rsidR="00022698" w:rsidRPr="00FE5BE3">
        <w:rPr>
          <w:rFonts w:asciiTheme="majorHAnsi" w:hAnsiTheme="majorHAnsi"/>
        </w:rPr>
        <w:t>, 2013</w:t>
      </w:r>
      <w:r w:rsidR="004619C6" w:rsidRPr="00FE5BE3">
        <w:rPr>
          <w:rFonts w:asciiTheme="majorHAnsi" w:hAnsiTheme="majorHAnsi"/>
        </w:rPr>
        <w:t xml:space="preserve">, </w:t>
      </w:r>
      <w:proofErr w:type="spellStart"/>
      <w:r w:rsidR="004619C6" w:rsidRPr="00FE5BE3">
        <w:rPr>
          <w:rFonts w:asciiTheme="majorHAnsi" w:hAnsiTheme="majorHAnsi"/>
        </w:rPr>
        <w:t>Hursh</w:t>
      </w:r>
      <w:proofErr w:type="spellEnd"/>
      <w:r w:rsidR="004619C6" w:rsidRPr="00FE5BE3">
        <w:rPr>
          <w:rFonts w:asciiTheme="majorHAnsi" w:hAnsiTheme="majorHAnsi"/>
        </w:rPr>
        <w:t>, 2016</w:t>
      </w:r>
      <w:r w:rsidR="00022698" w:rsidRPr="00FE5BE3">
        <w:rPr>
          <w:rFonts w:asciiTheme="majorHAnsi" w:hAnsiTheme="majorHAnsi"/>
        </w:rPr>
        <w:t xml:space="preserve">). Social commentators tend to view corporations like Pearson as powerful, monolithic entities working to monopolise the education market. As </w:t>
      </w:r>
      <w:proofErr w:type="spellStart"/>
      <w:r w:rsidR="00022698" w:rsidRPr="00FE5BE3">
        <w:rPr>
          <w:rFonts w:asciiTheme="majorHAnsi" w:hAnsiTheme="majorHAnsi"/>
        </w:rPr>
        <w:t>Ravitch</w:t>
      </w:r>
      <w:proofErr w:type="spellEnd"/>
      <w:r w:rsidR="00022698" w:rsidRPr="00FE5BE3">
        <w:rPr>
          <w:rFonts w:asciiTheme="majorHAnsi" w:hAnsiTheme="majorHAnsi"/>
        </w:rPr>
        <w:t xml:space="preserve"> (201</w:t>
      </w:r>
      <w:r w:rsidR="00FE5BE3" w:rsidRPr="00FE5BE3">
        <w:rPr>
          <w:rFonts w:asciiTheme="majorHAnsi" w:hAnsiTheme="majorHAnsi"/>
        </w:rPr>
        <w:t>2</w:t>
      </w:r>
      <w:r w:rsidR="00022698" w:rsidRPr="00FE5BE3">
        <w:rPr>
          <w:rFonts w:asciiTheme="majorHAnsi" w:hAnsiTheme="majorHAnsi"/>
        </w:rPr>
        <w:t>) observes, ‘it is widely recognized by everyone other than Pearson that its tentacles have grown too long and too aggressive</w:t>
      </w:r>
      <w:r w:rsidR="00877F77" w:rsidRPr="00FE5BE3">
        <w:rPr>
          <w:rFonts w:asciiTheme="majorHAnsi" w:hAnsiTheme="majorHAnsi"/>
        </w:rPr>
        <w:t xml:space="preserve">’ and that soon every aspect of American education will be ‘invaded by Pearson’s corporate grasp’. </w:t>
      </w:r>
      <w:r w:rsidR="009478D4" w:rsidRPr="00FE5BE3">
        <w:rPr>
          <w:rFonts w:asciiTheme="majorHAnsi" w:hAnsiTheme="majorHAnsi"/>
        </w:rPr>
        <w:t xml:space="preserve">Pearson is now acutely aware of </w:t>
      </w:r>
      <w:r w:rsidR="0043546B">
        <w:rPr>
          <w:rFonts w:asciiTheme="majorHAnsi" w:hAnsiTheme="majorHAnsi"/>
        </w:rPr>
        <w:t>its</w:t>
      </w:r>
      <w:r w:rsidR="009478D4" w:rsidRPr="00FE5BE3">
        <w:rPr>
          <w:rFonts w:asciiTheme="majorHAnsi" w:hAnsiTheme="majorHAnsi"/>
        </w:rPr>
        <w:t xml:space="preserve"> increasing influence</w:t>
      </w:r>
      <w:r w:rsidR="000C3E41" w:rsidRPr="00FE5BE3">
        <w:rPr>
          <w:rFonts w:asciiTheme="majorHAnsi" w:hAnsiTheme="majorHAnsi"/>
        </w:rPr>
        <w:t>—the ‘</w:t>
      </w:r>
      <w:proofErr w:type="spellStart"/>
      <w:r w:rsidR="000C3E41" w:rsidRPr="00FE5BE3">
        <w:rPr>
          <w:rFonts w:asciiTheme="majorHAnsi" w:hAnsiTheme="majorHAnsi"/>
        </w:rPr>
        <w:t>Pearsonization</w:t>
      </w:r>
      <w:proofErr w:type="spellEnd"/>
      <w:r w:rsidR="000C3E41" w:rsidRPr="00FE5BE3">
        <w:rPr>
          <w:rFonts w:asciiTheme="majorHAnsi" w:hAnsiTheme="majorHAnsi"/>
        </w:rPr>
        <w:t>’ of American schooling—and public concern about its reach into public education</w:t>
      </w:r>
      <w:r w:rsidR="009478D4" w:rsidRPr="00FE5BE3">
        <w:rPr>
          <w:rFonts w:asciiTheme="majorHAnsi" w:hAnsiTheme="majorHAnsi"/>
        </w:rPr>
        <w:t xml:space="preserve">. As </w:t>
      </w:r>
      <w:proofErr w:type="spellStart"/>
      <w:r w:rsidR="009478D4" w:rsidRPr="00FE5BE3">
        <w:rPr>
          <w:rFonts w:asciiTheme="majorHAnsi" w:hAnsiTheme="majorHAnsi"/>
        </w:rPr>
        <w:t>Hozler</w:t>
      </w:r>
      <w:proofErr w:type="spellEnd"/>
      <w:r w:rsidR="009478D4" w:rsidRPr="00FE5BE3">
        <w:rPr>
          <w:rFonts w:asciiTheme="majorHAnsi" w:hAnsiTheme="majorHAnsi"/>
        </w:rPr>
        <w:t xml:space="preserve"> (2010) points out, it is near impossible for corporations to avoid the ‘goldfish bowl’ </w:t>
      </w:r>
      <w:r w:rsidR="009478D4" w:rsidRPr="00FE5BE3">
        <w:rPr>
          <w:rFonts w:asciiTheme="majorHAnsi" w:hAnsiTheme="majorHAnsi" w:cs="Verdana"/>
          <w:color w:val="101010"/>
        </w:rPr>
        <w:t>of public scrutiny and</w:t>
      </w:r>
      <w:r w:rsidR="000C3E41" w:rsidRPr="00FE5BE3">
        <w:rPr>
          <w:rFonts w:asciiTheme="majorHAnsi" w:hAnsiTheme="majorHAnsi" w:cs="Verdana"/>
          <w:color w:val="101010"/>
        </w:rPr>
        <w:t>,</w:t>
      </w:r>
      <w:r w:rsidR="009478D4" w:rsidRPr="00FE5BE3">
        <w:rPr>
          <w:rFonts w:asciiTheme="majorHAnsi" w:hAnsiTheme="majorHAnsi" w:cs="Verdana"/>
          <w:color w:val="101010"/>
        </w:rPr>
        <w:t xml:space="preserve"> as such, they are forced to respond to the public’s perception and evaluation of their </w:t>
      </w:r>
      <w:r w:rsidR="00C160E1" w:rsidRPr="00FE5BE3">
        <w:rPr>
          <w:rFonts w:asciiTheme="majorHAnsi" w:hAnsiTheme="majorHAnsi" w:cs="Verdana"/>
          <w:color w:val="101010"/>
        </w:rPr>
        <w:t>actions</w:t>
      </w:r>
      <w:r w:rsidR="009478D4" w:rsidRPr="00FE5BE3">
        <w:rPr>
          <w:rFonts w:asciiTheme="majorHAnsi" w:hAnsiTheme="majorHAnsi" w:cs="Verdana"/>
          <w:color w:val="101010"/>
        </w:rPr>
        <w:t xml:space="preserve">. </w:t>
      </w:r>
      <w:r w:rsidR="00C160E1" w:rsidRPr="00FE5BE3">
        <w:rPr>
          <w:rFonts w:asciiTheme="majorHAnsi" w:hAnsiTheme="majorHAnsi" w:cs="Verdana"/>
          <w:color w:val="101010"/>
        </w:rPr>
        <w:t>Indeed, Pearson has been working hard</w:t>
      </w:r>
      <w:r w:rsidR="00187175" w:rsidRPr="00FE5BE3">
        <w:rPr>
          <w:rFonts w:asciiTheme="majorHAnsi" w:hAnsiTheme="majorHAnsi" w:cs="Verdana"/>
          <w:color w:val="101010"/>
        </w:rPr>
        <w:t xml:space="preserve"> over recent years</w:t>
      </w:r>
      <w:r w:rsidR="00C160E1" w:rsidRPr="00FE5BE3">
        <w:rPr>
          <w:rFonts w:asciiTheme="majorHAnsi" w:hAnsiTheme="majorHAnsi" w:cs="Verdana"/>
          <w:color w:val="101010"/>
        </w:rPr>
        <w:t xml:space="preserve"> to reconstitute its public image and position itself as simultaneously accountable to its shareholders and the public.</w:t>
      </w:r>
    </w:p>
    <w:p w14:paraId="5FFA9EBD" w14:textId="44213C8A" w:rsidR="00252A88" w:rsidRPr="00FE5BE3" w:rsidRDefault="00AD2898" w:rsidP="00BE3A93">
      <w:pPr>
        <w:spacing w:after="120"/>
        <w:rPr>
          <w:rFonts w:asciiTheme="majorHAnsi" w:hAnsiTheme="majorHAnsi"/>
          <w:b/>
          <w:i/>
        </w:rPr>
      </w:pPr>
      <w:r w:rsidRPr="00FE5BE3">
        <w:rPr>
          <w:rFonts w:asciiTheme="majorHAnsi" w:hAnsiTheme="majorHAnsi"/>
          <w:b/>
          <w:i/>
        </w:rPr>
        <w:t>Investing in a positive public image</w:t>
      </w:r>
      <w:r w:rsidR="00F57F79" w:rsidRPr="00FE5BE3">
        <w:rPr>
          <w:rFonts w:asciiTheme="majorHAnsi" w:hAnsiTheme="majorHAnsi"/>
          <w:b/>
          <w:i/>
        </w:rPr>
        <w:t xml:space="preserve"> </w:t>
      </w:r>
    </w:p>
    <w:p w14:paraId="67EA005E" w14:textId="0E27FC06" w:rsidR="0037083C" w:rsidRPr="00FE5BE3" w:rsidRDefault="003B2A5D" w:rsidP="00BE3A93">
      <w:pPr>
        <w:spacing w:after="120"/>
        <w:rPr>
          <w:rFonts w:asciiTheme="majorHAnsi" w:hAnsiTheme="majorHAnsi"/>
        </w:rPr>
      </w:pPr>
      <w:r w:rsidRPr="00FE5BE3">
        <w:rPr>
          <w:rFonts w:asciiTheme="majorHAnsi" w:hAnsiTheme="majorHAnsi"/>
        </w:rPr>
        <w:t xml:space="preserve">Pearson has been </w:t>
      </w:r>
      <w:r w:rsidR="000C3E41" w:rsidRPr="00FE5BE3">
        <w:rPr>
          <w:rFonts w:asciiTheme="majorHAnsi" w:hAnsiTheme="majorHAnsi"/>
        </w:rPr>
        <w:t>fashioning its</w:t>
      </w:r>
      <w:r w:rsidRPr="00FE5BE3">
        <w:rPr>
          <w:rFonts w:asciiTheme="majorHAnsi" w:hAnsiTheme="majorHAnsi"/>
        </w:rPr>
        <w:t xml:space="preserve"> image as a socially responsible </w:t>
      </w:r>
      <w:r w:rsidR="000C3E41" w:rsidRPr="00FE5BE3">
        <w:rPr>
          <w:rFonts w:asciiTheme="majorHAnsi" w:hAnsiTheme="majorHAnsi"/>
        </w:rPr>
        <w:t>edu-</w:t>
      </w:r>
      <w:r w:rsidRPr="00FE5BE3">
        <w:rPr>
          <w:rFonts w:asciiTheme="majorHAnsi" w:hAnsiTheme="majorHAnsi"/>
        </w:rPr>
        <w:t>business. In the past, corporate social responsibility (CSR) has been considered a matter of philanthropy</w:t>
      </w:r>
      <w:r w:rsidR="004619C6" w:rsidRPr="00FE5BE3">
        <w:rPr>
          <w:rFonts w:asciiTheme="majorHAnsi" w:hAnsiTheme="majorHAnsi"/>
        </w:rPr>
        <w:t>,</w:t>
      </w:r>
      <w:r w:rsidRPr="00FE5BE3">
        <w:rPr>
          <w:rFonts w:asciiTheme="majorHAnsi" w:hAnsiTheme="majorHAnsi"/>
        </w:rPr>
        <w:t xml:space="preserve"> whereby corporations invest some of their profits back into the community to make a positive contribution to society. This approach to CSR was evident in Pearson’s business model until late 2014</w:t>
      </w:r>
      <w:r w:rsidR="004619C6" w:rsidRPr="00FE5BE3">
        <w:rPr>
          <w:rFonts w:asciiTheme="majorHAnsi" w:hAnsiTheme="majorHAnsi"/>
        </w:rPr>
        <w:t>,</w:t>
      </w:r>
      <w:r w:rsidRPr="00FE5BE3">
        <w:rPr>
          <w:rFonts w:asciiTheme="majorHAnsi" w:hAnsiTheme="majorHAnsi"/>
        </w:rPr>
        <w:t xml:space="preserve"> when it announced an end to the work of the Pearson Foundation. As explained by</w:t>
      </w:r>
      <w:r w:rsidR="00CA585D" w:rsidRPr="00FE5BE3">
        <w:rPr>
          <w:rFonts w:asciiTheme="majorHAnsi" w:hAnsiTheme="majorHAnsi"/>
        </w:rPr>
        <w:t xml:space="preserve"> the</w:t>
      </w:r>
      <w:r w:rsidRPr="00FE5BE3">
        <w:rPr>
          <w:rFonts w:asciiTheme="majorHAnsi" w:hAnsiTheme="majorHAnsi"/>
        </w:rPr>
        <w:t xml:space="preserve"> Pearson</w:t>
      </w:r>
      <w:r w:rsidR="00CA585D" w:rsidRPr="00FE5BE3">
        <w:rPr>
          <w:rFonts w:asciiTheme="majorHAnsi" w:hAnsiTheme="majorHAnsi"/>
        </w:rPr>
        <w:t xml:space="preserve"> Foundation (2014)</w:t>
      </w:r>
      <w:r w:rsidRPr="00FE5BE3">
        <w:rPr>
          <w:rFonts w:asciiTheme="majorHAnsi" w:hAnsiTheme="majorHAnsi"/>
        </w:rPr>
        <w:t xml:space="preserve">, ‘this </w:t>
      </w:r>
      <w:r w:rsidR="000C3E41" w:rsidRPr="00FE5BE3">
        <w:rPr>
          <w:rFonts w:asciiTheme="majorHAnsi" w:hAnsiTheme="majorHAnsi"/>
        </w:rPr>
        <w:t>[</w:t>
      </w:r>
      <w:r w:rsidRPr="00FE5BE3">
        <w:rPr>
          <w:rFonts w:asciiTheme="majorHAnsi" w:hAnsiTheme="majorHAnsi"/>
        </w:rPr>
        <w:t>follow</w:t>
      </w:r>
      <w:r w:rsidR="000C3E41" w:rsidRPr="00FE5BE3">
        <w:rPr>
          <w:rFonts w:asciiTheme="majorHAnsi" w:hAnsiTheme="majorHAnsi"/>
        </w:rPr>
        <w:t>ed]</w:t>
      </w:r>
      <w:r w:rsidRPr="00FE5BE3">
        <w:rPr>
          <w:rFonts w:asciiTheme="majorHAnsi" w:hAnsiTheme="majorHAnsi"/>
        </w:rPr>
        <w:t xml:space="preserve"> a decision by Pearson </w:t>
      </w:r>
      <w:proofErr w:type="spellStart"/>
      <w:r w:rsidRPr="00FE5BE3">
        <w:rPr>
          <w:rFonts w:asciiTheme="majorHAnsi" w:hAnsiTheme="majorHAnsi"/>
        </w:rPr>
        <w:t>plc</w:t>
      </w:r>
      <w:proofErr w:type="spellEnd"/>
      <w:r w:rsidR="00E80DA4" w:rsidRPr="00FE5BE3">
        <w:rPr>
          <w:rFonts w:asciiTheme="majorHAnsi" w:hAnsiTheme="majorHAnsi"/>
        </w:rPr>
        <w:t xml:space="preserve"> to integrate all of its corporate social responsibilities and functions into its business as a way to maximise social impact and to no longer fund the Foundation as the primary vehicle for its philanthropic and community activities’. This effectively ‘mainstream</w:t>
      </w:r>
      <w:r w:rsidR="000C3E41" w:rsidRPr="00FE5BE3">
        <w:rPr>
          <w:rFonts w:asciiTheme="majorHAnsi" w:hAnsiTheme="majorHAnsi"/>
        </w:rPr>
        <w:t>ed</w:t>
      </w:r>
      <w:r w:rsidR="00E80DA4" w:rsidRPr="00FE5BE3">
        <w:rPr>
          <w:rFonts w:asciiTheme="majorHAnsi" w:hAnsiTheme="majorHAnsi"/>
        </w:rPr>
        <w:t>’ CSR for Pearson</w:t>
      </w:r>
      <w:r w:rsidR="000C3E41" w:rsidRPr="00FE5BE3">
        <w:rPr>
          <w:rFonts w:asciiTheme="majorHAnsi" w:hAnsiTheme="majorHAnsi"/>
        </w:rPr>
        <w:t>,</w:t>
      </w:r>
      <w:r w:rsidR="00E80DA4" w:rsidRPr="00FE5BE3">
        <w:rPr>
          <w:rFonts w:asciiTheme="majorHAnsi" w:hAnsiTheme="majorHAnsi"/>
        </w:rPr>
        <w:t xml:space="preserve"> integrat</w:t>
      </w:r>
      <w:r w:rsidR="000C3E41" w:rsidRPr="00FE5BE3">
        <w:rPr>
          <w:rFonts w:asciiTheme="majorHAnsi" w:hAnsiTheme="majorHAnsi"/>
        </w:rPr>
        <w:t>ing</w:t>
      </w:r>
      <w:r w:rsidR="00E80DA4" w:rsidRPr="00FE5BE3">
        <w:rPr>
          <w:rFonts w:asciiTheme="majorHAnsi" w:hAnsiTheme="majorHAnsi"/>
        </w:rPr>
        <w:t xml:space="preserve"> it</w:t>
      </w:r>
      <w:r w:rsidR="000C3E41" w:rsidRPr="00FE5BE3">
        <w:rPr>
          <w:rFonts w:asciiTheme="majorHAnsi" w:hAnsiTheme="majorHAnsi"/>
        </w:rPr>
        <w:t xml:space="preserve">s </w:t>
      </w:r>
      <w:r w:rsidR="000C3E41" w:rsidRPr="00FE5BE3">
        <w:rPr>
          <w:rFonts w:asciiTheme="majorHAnsi" w:hAnsiTheme="majorHAnsi"/>
        </w:rPr>
        <w:lastRenderedPageBreak/>
        <w:t>philanthropic functions</w:t>
      </w:r>
      <w:r w:rsidR="00E80DA4" w:rsidRPr="00FE5BE3">
        <w:rPr>
          <w:rFonts w:asciiTheme="majorHAnsi" w:hAnsiTheme="majorHAnsi"/>
        </w:rPr>
        <w:t xml:space="preserve"> into its everyday business activities. </w:t>
      </w:r>
      <w:r w:rsidR="00CA585D" w:rsidRPr="00FE5BE3">
        <w:rPr>
          <w:rFonts w:asciiTheme="majorHAnsi" w:hAnsiTheme="majorHAnsi"/>
        </w:rPr>
        <w:t xml:space="preserve">Bishop and Green (2008, p.177) </w:t>
      </w:r>
      <w:r w:rsidR="000C3E41" w:rsidRPr="00FE5BE3">
        <w:rPr>
          <w:rFonts w:asciiTheme="majorHAnsi" w:hAnsiTheme="majorHAnsi"/>
        </w:rPr>
        <w:t xml:space="preserve">describe this phenomenon </w:t>
      </w:r>
      <w:r w:rsidR="00CA585D" w:rsidRPr="00FE5BE3">
        <w:rPr>
          <w:rFonts w:asciiTheme="majorHAnsi" w:hAnsiTheme="majorHAnsi"/>
        </w:rPr>
        <w:t xml:space="preserve">as ‘philanthrocapitalism’, in which CSR is driven by the belief that doing good can </w:t>
      </w:r>
      <w:r w:rsidR="000C3E41" w:rsidRPr="00FE5BE3">
        <w:rPr>
          <w:rFonts w:asciiTheme="majorHAnsi" w:hAnsiTheme="majorHAnsi"/>
        </w:rPr>
        <w:t xml:space="preserve">also </w:t>
      </w:r>
      <w:r w:rsidR="00CA585D" w:rsidRPr="00FE5BE3">
        <w:rPr>
          <w:rFonts w:asciiTheme="majorHAnsi" w:hAnsiTheme="majorHAnsi"/>
        </w:rPr>
        <w:t>be profitable.</w:t>
      </w:r>
    </w:p>
    <w:p w14:paraId="07659BC0" w14:textId="5AF3D587" w:rsidR="00CA585D" w:rsidRPr="00FE5BE3" w:rsidRDefault="00CA585D" w:rsidP="00BE3A93">
      <w:pPr>
        <w:spacing w:after="120"/>
        <w:rPr>
          <w:rFonts w:asciiTheme="majorHAnsi" w:hAnsiTheme="majorHAnsi" w:cs="Verdana"/>
          <w:color w:val="101010"/>
          <w:lang w:val="en-US"/>
        </w:rPr>
      </w:pPr>
      <w:r w:rsidRPr="00FE5BE3">
        <w:rPr>
          <w:rFonts w:asciiTheme="majorHAnsi" w:hAnsiTheme="majorHAnsi"/>
        </w:rPr>
        <w:t>A very tangible aspect of Pearson’s CSR agenda is its Efficacy Framew</w:t>
      </w:r>
      <w:r w:rsidR="00BC7C20" w:rsidRPr="00FE5BE3">
        <w:rPr>
          <w:rFonts w:asciiTheme="majorHAnsi" w:hAnsiTheme="majorHAnsi"/>
        </w:rPr>
        <w:t>ork. The Efficacy Framework is part of Pearson’s commitment to ensure that its</w:t>
      </w:r>
      <w:r w:rsidR="004619C6" w:rsidRPr="00FE5BE3">
        <w:rPr>
          <w:rFonts w:asciiTheme="majorHAnsi" w:hAnsiTheme="majorHAnsi"/>
        </w:rPr>
        <w:t xml:space="preserve"> educational </w:t>
      </w:r>
      <w:r w:rsidR="00BC7C20" w:rsidRPr="00FE5BE3">
        <w:rPr>
          <w:rFonts w:asciiTheme="majorHAnsi" w:hAnsiTheme="majorHAnsi"/>
        </w:rPr>
        <w:t>products and services have a measureable impact</w:t>
      </w:r>
      <w:r w:rsidR="009F683E" w:rsidRPr="00FE5BE3">
        <w:rPr>
          <w:rFonts w:asciiTheme="majorHAnsi" w:hAnsiTheme="majorHAnsi"/>
        </w:rPr>
        <w:t xml:space="preserve"> on learner outcomes</w:t>
      </w:r>
      <w:r w:rsidR="00BC7C20" w:rsidRPr="00FE5BE3">
        <w:rPr>
          <w:rFonts w:asciiTheme="majorHAnsi" w:hAnsiTheme="majorHAnsi"/>
        </w:rPr>
        <w:t xml:space="preserve">. </w:t>
      </w:r>
      <w:r w:rsidR="000D7763" w:rsidRPr="00FE5BE3">
        <w:rPr>
          <w:rFonts w:asciiTheme="majorHAnsi" w:hAnsiTheme="majorHAnsi" w:cs="Verdana"/>
          <w:color w:val="101010"/>
          <w:lang w:val="en-US"/>
        </w:rPr>
        <w:t xml:space="preserve">Pearson’s emphasis on ‘efficacy’ borrows from usage of the term in the pharmaceutical industry and reflects the trend toward the medicalization of education research. Indeed, the promotional </w:t>
      </w:r>
      <w:r w:rsidR="00B1514D" w:rsidRPr="00FE5BE3">
        <w:rPr>
          <w:rFonts w:asciiTheme="majorHAnsi" w:hAnsiTheme="majorHAnsi" w:cs="Verdana"/>
          <w:color w:val="101010"/>
          <w:lang w:val="en-US"/>
        </w:rPr>
        <w:t>materials describing Pearson’s E</w:t>
      </w:r>
      <w:r w:rsidR="000D7763" w:rsidRPr="00FE5BE3">
        <w:rPr>
          <w:rFonts w:asciiTheme="majorHAnsi" w:hAnsiTheme="majorHAnsi" w:cs="Verdana"/>
          <w:color w:val="101010"/>
          <w:lang w:val="en-US"/>
        </w:rPr>
        <w:t>fficacy agenda include an image of a researcher in a laboratory working with test tubes, conjuring an association between Pearson’s evaluation of its products and the ‘</w:t>
      </w:r>
      <w:proofErr w:type="spellStart"/>
      <w:r w:rsidR="000D7763" w:rsidRPr="00FE5BE3">
        <w:rPr>
          <w:rFonts w:asciiTheme="majorHAnsi" w:hAnsiTheme="majorHAnsi" w:cs="Verdana"/>
          <w:color w:val="101010"/>
          <w:lang w:val="en-US"/>
        </w:rPr>
        <w:t>rigour</w:t>
      </w:r>
      <w:proofErr w:type="spellEnd"/>
      <w:r w:rsidR="000D7763" w:rsidRPr="00FE5BE3">
        <w:rPr>
          <w:rFonts w:asciiTheme="majorHAnsi" w:hAnsiTheme="majorHAnsi" w:cs="Verdana"/>
          <w:color w:val="101010"/>
          <w:lang w:val="en-US"/>
        </w:rPr>
        <w:t>’ of medical research.</w:t>
      </w:r>
    </w:p>
    <w:p w14:paraId="468C10B5" w14:textId="3690D1F1" w:rsidR="000D7763" w:rsidRPr="00FE5BE3" w:rsidRDefault="000D7763" w:rsidP="00475738">
      <w:pPr>
        <w:widowControl w:val="0"/>
        <w:autoSpaceDE w:val="0"/>
        <w:autoSpaceDN w:val="0"/>
        <w:adjustRightInd w:val="0"/>
        <w:spacing w:after="120"/>
        <w:rPr>
          <w:rFonts w:asciiTheme="majorHAnsi" w:hAnsiTheme="majorHAnsi" w:cs="Times New Roman"/>
          <w:lang w:val="en-US"/>
        </w:rPr>
      </w:pPr>
      <w:r w:rsidRPr="00FE5BE3">
        <w:rPr>
          <w:rFonts w:asciiTheme="majorHAnsi" w:hAnsiTheme="majorHAnsi"/>
        </w:rPr>
        <w:t>Pearson’s Efficacy Framework</w:t>
      </w:r>
      <w:r w:rsidRPr="00FE5BE3">
        <w:rPr>
          <w:rFonts w:asciiTheme="majorHAnsi" w:hAnsiTheme="majorHAnsi"/>
          <w:i/>
        </w:rPr>
        <w:t xml:space="preserve"> </w:t>
      </w:r>
      <w:r w:rsidRPr="00FE5BE3">
        <w:rPr>
          <w:rFonts w:asciiTheme="majorHAnsi" w:hAnsiTheme="majorHAnsi" w:cs="Times New Roman"/>
          <w:lang w:val="en-US"/>
        </w:rPr>
        <w:t>is a standardized review process, including a review tool in rubric format, which is used by the company to evaluate how well its products and services achieve desired outcomes. The Framework enables the rating of a product, program or service against criteria in the following four areas: outcomes; evidence; plans</w:t>
      </w:r>
      <w:proofErr w:type="gramStart"/>
      <w:r w:rsidRPr="00FE5BE3">
        <w:rPr>
          <w:rFonts w:asciiTheme="majorHAnsi" w:hAnsiTheme="majorHAnsi" w:cs="Times New Roman"/>
          <w:lang w:val="en-US"/>
        </w:rPr>
        <w:t>;</w:t>
      </w:r>
      <w:proofErr w:type="gramEnd"/>
      <w:r w:rsidRPr="00FE5BE3">
        <w:rPr>
          <w:rFonts w:asciiTheme="majorHAnsi" w:hAnsiTheme="majorHAnsi" w:cs="Times New Roman"/>
          <w:lang w:val="en-US"/>
        </w:rPr>
        <w:t xml:space="preserve"> and capacity. By giving each criterion a rating on a four-point </w:t>
      </w:r>
      <w:proofErr w:type="spellStart"/>
      <w:r w:rsidRPr="00FE5BE3">
        <w:rPr>
          <w:rFonts w:asciiTheme="majorHAnsi" w:hAnsiTheme="majorHAnsi" w:cs="Times New Roman"/>
          <w:lang w:val="en-US"/>
        </w:rPr>
        <w:t>colour</w:t>
      </w:r>
      <w:proofErr w:type="spellEnd"/>
      <w:r w:rsidRPr="00FE5BE3">
        <w:rPr>
          <w:rFonts w:asciiTheme="majorHAnsi" w:hAnsiTheme="majorHAnsi" w:cs="Times New Roman"/>
          <w:lang w:val="en-US"/>
        </w:rPr>
        <w:t xml:space="preserve"> scale, from green to red, the Framework can be used to assess how well a product is achieving its objectives and how it might be improved. As stated in Pearson’s 2013 annual report, ‘the Framework serves to identify specific areas which, if improved, will increase our likelihood of intended impact. Teams are able [to] focus their activity on taking these steps before the product is </w:t>
      </w:r>
      <w:r w:rsidR="009F683E" w:rsidRPr="00FE5BE3">
        <w:rPr>
          <w:rFonts w:asciiTheme="majorHAnsi" w:hAnsiTheme="majorHAnsi" w:cs="Times New Roman"/>
          <w:lang w:val="en-US"/>
        </w:rPr>
        <w:t xml:space="preserve">assessed again’ (p.15). </w:t>
      </w:r>
      <w:r w:rsidRPr="00FE5BE3">
        <w:rPr>
          <w:rFonts w:asciiTheme="majorHAnsi" w:hAnsiTheme="majorHAnsi" w:cs="Times New Roman"/>
          <w:lang w:val="en-US"/>
        </w:rPr>
        <w:t xml:space="preserve">Pearson claim that ‘all new product developments will have defined and measureable student outcomes’ (Pearson </w:t>
      </w:r>
      <w:proofErr w:type="spellStart"/>
      <w:r w:rsidRPr="00FE5BE3">
        <w:rPr>
          <w:rFonts w:asciiTheme="majorHAnsi" w:hAnsiTheme="majorHAnsi" w:cs="Times New Roman"/>
          <w:lang w:val="en-US"/>
        </w:rPr>
        <w:t>plc</w:t>
      </w:r>
      <w:proofErr w:type="spellEnd"/>
      <w:r w:rsidRPr="00FE5BE3">
        <w:rPr>
          <w:rFonts w:asciiTheme="majorHAnsi" w:hAnsiTheme="majorHAnsi" w:cs="Times New Roman"/>
          <w:lang w:val="en-US"/>
        </w:rPr>
        <w:t xml:space="preserve">, 2013, p.15). </w:t>
      </w:r>
    </w:p>
    <w:p w14:paraId="50C4F0F4" w14:textId="06BB5687" w:rsidR="00E92A8C" w:rsidRPr="00FE5BE3" w:rsidRDefault="00C66300" w:rsidP="00C66300">
      <w:pPr>
        <w:spacing w:after="120"/>
        <w:rPr>
          <w:rFonts w:asciiTheme="majorHAnsi" w:hAnsiTheme="majorHAnsi"/>
        </w:rPr>
      </w:pPr>
      <w:r w:rsidRPr="00FE5BE3">
        <w:rPr>
          <w:rFonts w:asciiTheme="majorHAnsi" w:hAnsiTheme="majorHAnsi"/>
        </w:rPr>
        <w:t xml:space="preserve">In an age of what </w:t>
      </w:r>
      <w:r w:rsidR="00BC7319" w:rsidRPr="00FE5BE3">
        <w:rPr>
          <w:rFonts w:asciiTheme="majorHAnsi" w:hAnsiTheme="majorHAnsi"/>
        </w:rPr>
        <w:t xml:space="preserve">Nigel </w:t>
      </w:r>
      <w:r w:rsidRPr="00FE5BE3">
        <w:rPr>
          <w:rFonts w:asciiTheme="majorHAnsi" w:hAnsiTheme="majorHAnsi"/>
        </w:rPr>
        <w:t xml:space="preserve">Thrift (2005) calls </w:t>
      </w:r>
      <w:r w:rsidRPr="00FE5BE3">
        <w:rPr>
          <w:rFonts w:asciiTheme="majorHAnsi" w:hAnsiTheme="majorHAnsi"/>
          <w:i/>
        </w:rPr>
        <w:t xml:space="preserve">Knowing Capitalism, </w:t>
      </w:r>
      <w:r w:rsidRPr="00FE5BE3">
        <w:rPr>
          <w:rFonts w:asciiTheme="majorHAnsi" w:hAnsiTheme="majorHAnsi"/>
        </w:rPr>
        <w:t>it is clear that Pearson’s Efficacy Framework is about accountabilit</w:t>
      </w:r>
      <w:r w:rsidR="00551DF5" w:rsidRPr="00FE5BE3">
        <w:rPr>
          <w:rFonts w:asciiTheme="majorHAnsi" w:hAnsiTheme="majorHAnsi"/>
        </w:rPr>
        <w:t>y.</w:t>
      </w:r>
      <w:r w:rsidRPr="00FE5BE3">
        <w:rPr>
          <w:rFonts w:asciiTheme="majorHAnsi" w:hAnsiTheme="majorHAnsi"/>
        </w:rPr>
        <w:t xml:space="preserve"> As Thrift (2005) explains, in the increasingly complex and unstable global economy, businesses ‘now live in a permanent stage of emergency, always bordering on the edge of chaos’ (p.78). </w:t>
      </w:r>
      <w:r w:rsidR="00BC7319" w:rsidRPr="00FE5BE3">
        <w:rPr>
          <w:rFonts w:asciiTheme="majorHAnsi" w:hAnsiTheme="majorHAnsi"/>
        </w:rPr>
        <w:t>In an effort to manage this context,</w:t>
      </w:r>
      <w:r w:rsidRPr="00FE5BE3">
        <w:rPr>
          <w:rFonts w:asciiTheme="majorHAnsi" w:hAnsiTheme="majorHAnsi"/>
        </w:rPr>
        <w:t xml:space="preserve"> </w:t>
      </w:r>
      <w:r w:rsidR="004619C6" w:rsidRPr="00FE5BE3">
        <w:rPr>
          <w:rFonts w:asciiTheme="majorHAnsi" w:hAnsiTheme="majorHAnsi"/>
        </w:rPr>
        <w:t xml:space="preserve">Thrift argues that capitalism has in some ways become a research project of itself. </w:t>
      </w:r>
      <w:r w:rsidRPr="00FE5BE3">
        <w:rPr>
          <w:rFonts w:asciiTheme="majorHAnsi" w:hAnsiTheme="majorHAnsi"/>
        </w:rPr>
        <w:t xml:space="preserve"> Pearson realises that it has reached an influential and powerful position within the education marketplace and</w:t>
      </w:r>
      <w:r w:rsidR="008D6377" w:rsidRPr="00FE5BE3">
        <w:rPr>
          <w:rFonts w:asciiTheme="majorHAnsi" w:hAnsiTheme="majorHAnsi"/>
        </w:rPr>
        <w:t>,</w:t>
      </w:r>
      <w:r w:rsidRPr="00FE5BE3">
        <w:rPr>
          <w:rFonts w:asciiTheme="majorHAnsi" w:hAnsiTheme="majorHAnsi"/>
        </w:rPr>
        <w:t xml:space="preserve"> </w:t>
      </w:r>
      <w:r w:rsidR="008D6377" w:rsidRPr="00FE5BE3">
        <w:rPr>
          <w:rFonts w:asciiTheme="majorHAnsi" w:hAnsiTheme="majorHAnsi"/>
        </w:rPr>
        <w:t xml:space="preserve">if does not </w:t>
      </w:r>
      <w:r w:rsidRPr="00FE5BE3">
        <w:rPr>
          <w:rFonts w:asciiTheme="majorHAnsi" w:hAnsiTheme="majorHAnsi"/>
        </w:rPr>
        <w:t xml:space="preserve">appear accountable for its products and services, </w:t>
      </w:r>
      <w:r w:rsidR="008D6377" w:rsidRPr="00FE5BE3">
        <w:rPr>
          <w:rFonts w:asciiTheme="majorHAnsi" w:hAnsiTheme="majorHAnsi"/>
        </w:rPr>
        <w:t xml:space="preserve">it </w:t>
      </w:r>
      <w:r w:rsidRPr="00FE5BE3">
        <w:rPr>
          <w:rFonts w:asciiTheme="majorHAnsi" w:hAnsiTheme="majorHAnsi"/>
        </w:rPr>
        <w:t>face</w:t>
      </w:r>
      <w:r w:rsidR="009F683E" w:rsidRPr="00FE5BE3">
        <w:rPr>
          <w:rFonts w:asciiTheme="majorHAnsi" w:hAnsiTheme="majorHAnsi"/>
        </w:rPr>
        <w:t>s</w:t>
      </w:r>
      <w:r w:rsidRPr="00FE5BE3">
        <w:rPr>
          <w:rFonts w:asciiTheme="majorHAnsi" w:hAnsiTheme="majorHAnsi"/>
        </w:rPr>
        <w:t xml:space="preserve"> the risk of being interpreted as ‘irresponsible’ by the critical public. </w:t>
      </w:r>
      <w:r w:rsidR="00E92A8C" w:rsidRPr="00FE5BE3">
        <w:rPr>
          <w:rFonts w:asciiTheme="majorHAnsi" w:hAnsiTheme="majorHAnsi"/>
        </w:rPr>
        <w:t xml:space="preserve">By </w:t>
      </w:r>
      <w:r w:rsidR="00E92A8C" w:rsidRPr="00FE5BE3">
        <w:rPr>
          <w:rFonts w:asciiTheme="majorHAnsi" w:hAnsiTheme="majorHAnsi"/>
          <w:iCs/>
          <w:lang w:val="en-US"/>
        </w:rPr>
        <w:t xml:space="preserve">ensuring its products and services are </w:t>
      </w:r>
      <w:r w:rsidR="00E92A8C" w:rsidRPr="00FE5BE3">
        <w:rPr>
          <w:rFonts w:asciiTheme="majorHAnsi" w:hAnsiTheme="majorHAnsi"/>
          <w:i/>
          <w:iCs/>
          <w:lang w:val="en-US"/>
        </w:rPr>
        <w:t>efficacious</w:t>
      </w:r>
      <w:r w:rsidRPr="00FE5BE3">
        <w:rPr>
          <w:rFonts w:asciiTheme="majorHAnsi" w:hAnsiTheme="majorHAnsi"/>
        </w:rPr>
        <w:t>, Pearson has responded in a way that moralises its activities, presenting a corporation focused on a double bottom line of profitability and social responsibility</w:t>
      </w:r>
      <w:r w:rsidR="00E92A8C" w:rsidRPr="00FE5BE3">
        <w:rPr>
          <w:rFonts w:asciiTheme="majorHAnsi" w:hAnsiTheme="majorHAnsi"/>
        </w:rPr>
        <w:t>, and thus</w:t>
      </w:r>
      <w:r w:rsidR="009F683E" w:rsidRPr="00FE5BE3">
        <w:rPr>
          <w:rFonts w:asciiTheme="majorHAnsi" w:hAnsiTheme="majorHAnsi"/>
        </w:rPr>
        <w:t>,</w:t>
      </w:r>
      <w:r w:rsidR="00E92A8C" w:rsidRPr="00FE5BE3">
        <w:rPr>
          <w:rFonts w:asciiTheme="majorHAnsi" w:hAnsiTheme="majorHAnsi"/>
        </w:rPr>
        <w:t xml:space="preserve"> offers </w:t>
      </w:r>
      <w:r w:rsidR="00FB12F3" w:rsidRPr="00FE5BE3">
        <w:rPr>
          <w:rFonts w:asciiTheme="majorHAnsi" w:hAnsiTheme="majorHAnsi"/>
          <w:iCs/>
          <w:lang w:val="en-US"/>
        </w:rPr>
        <w:t xml:space="preserve">the public sector a means to </w:t>
      </w:r>
      <w:r w:rsidR="008D6377" w:rsidRPr="00FE5BE3">
        <w:rPr>
          <w:rFonts w:asciiTheme="majorHAnsi" w:hAnsiTheme="majorHAnsi"/>
          <w:iCs/>
          <w:lang w:val="en-US"/>
        </w:rPr>
        <w:t>trust</w:t>
      </w:r>
      <w:r w:rsidR="00FB12F3" w:rsidRPr="00FE5BE3">
        <w:rPr>
          <w:rFonts w:asciiTheme="majorHAnsi" w:hAnsiTheme="majorHAnsi"/>
          <w:iCs/>
          <w:lang w:val="en-US"/>
        </w:rPr>
        <w:t xml:space="preserve"> their use of </w:t>
      </w:r>
      <w:r w:rsidR="00F71AA3" w:rsidRPr="00FE5BE3">
        <w:rPr>
          <w:rFonts w:asciiTheme="majorHAnsi" w:hAnsiTheme="majorHAnsi"/>
          <w:iCs/>
          <w:lang w:val="en-US"/>
        </w:rPr>
        <w:t>Pearson</w:t>
      </w:r>
      <w:r w:rsidR="00FB12F3" w:rsidRPr="00FE5BE3">
        <w:rPr>
          <w:rFonts w:asciiTheme="majorHAnsi" w:hAnsiTheme="majorHAnsi"/>
          <w:iCs/>
          <w:lang w:val="en-US"/>
        </w:rPr>
        <w:t xml:space="preserve"> products and services.</w:t>
      </w:r>
    </w:p>
    <w:p w14:paraId="6A5D7407" w14:textId="0597F9E8" w:rsidR="00551DF5" w:rsidRPr="00FE5BE3" w:rsidRDefault="00551DF5" w:rsidP="00C66300">
      <w:pPr>
        <w:spacing w:after="120"/>
        <w:rPr>
          <w:rFonts w:asciiTheme="majorHAnsi" w:hAnsiTheme="majorHAnsi"/>
          <w:b/>
          <w:i/>
        </w:rPr>
      </w:pPr>
      <w:r w:rsidRPr="00FE5BE3">
        <w:rPr>
          <w:rFonts w:asciiTheme="majorHAnsi" w:hAnsiTheme="majorHAnsi"/>
          <w:b/>
          <w:i/>
        </w:rPr>
        <w:t xml:space="preserve">Capitalising on </w:t>
      </w:r>
      <w:r w:rsidR="00E92A8C" w:rsidRPr="00FE5BE3">
        <w:rPr>
          <w:rFonts w:asciiTheme="majorHAnsi" w:hAnsiTheme="majorHAnsi"/>
          <w:b/>
          <w:i/>
        </w:rPr>
        <w:t>a positive public image</w:t>
      </w:r>
    </w:p>
    <w:p w14:paraId="7FD7DE2A" w14:textId="25387DFF" w:rsidR="0067572C" w:rsidRPr="00FE5BE3" w:rsidRDefault="00215B7B" w:rsidP="0067572C">
      <w:pPr>
        <w:spacing w:after="120"/>
        <w:rPr>
          <w:rFonts w:asciiTheme="majorHAnsi" w:hAnsiTheme="majorHAnsi" w:cs="Calibri"/>
        </w:rPr>
      </w:pPr>
      <w:r w:rsidRPr="00FE5BE3">
        <w:rPr>
          <w:rFonts w:asciiTheme="majorHAnsi" w:hAnsiTheme="majorHAnsi"/>
          <w:iCs/>
          <w:lang w:val="en-US"/>
        </w:rPr>
        <w:t xml:space="preserve">Pearson’s new focus </w:t>
      </w:r>
      <w:r w:rsidR="009F683E" w:rsidRPr="00FE5BE3">
        <w:rPr>
          <w:rFonts w:asciiTheme="majorHAnsi" w:hAnsiTheme="majorHAnsi"/>
          <w:iCs/>
          <w:lang w:val="en-US"/>
        </w:rPr>
        <w:t xml:space="preserve">on efficacy </w:t>
      </w:r>
      <w:r w:rsidRPr="00FE5BE3">
        <w:rPr>
          <w:rFonts w:asciiTheme="majorHAnsi" w:hAnsiTheme="majorHAnsi"/>
          <w:iCs/>
          <w:lang w:val="en-US"/>
        </w:rPr>
        <w:t xml:space="preserve">is allowing the company to position itself as a </w:t>
      </w:r>
      <w:r w:rsidR="008D6377" w:rsidRPr="00FE5BE3">
        <w:rPr>
          <w:rFonts w:asciiTheme="majorHAnsi" w:hAnsiTheme="majorHAnsi"/>
          <w:iCs/>
          <w:lang w:val="en-US"/>
        </w:rPr>
        <w:t>legitimate</w:t>
      </w:r>
      <w:r w:rsidRPr="00FE5BE3">
        <w:rPr>
          <w:rFonts w:asciiTheme="majorHAnsi" w:hAnsiTheme="majorHAnsi"/>
          <w:iCs/>
          <w:lang w:val="en-US"/>
        </w:rPr>
        <w:t xml:space="preserve"> education policy actor that </w:t>
      </w:r>
      <w:r w:rsidR="008D6377" w:rsidRPr="00FE5BE3">
        <w:rPr>
          <w:rFonts w:asciiTheme="majorHAnsi" w:hAnsiTheme="majorHAnsi"/>
          <w:iCs/>
          <w:lang w:val="en-US"/>
        </w:rPr>
        <w:t xml:space="preserve">has the potential to </w:t>
      </w:r>
      <w:r w:rsidRPr="00FE5BE3">
        <w:rPr>
          <w:rFonts w:asciiTheme="majorHAnsi" w:hAnsiTheme="majorHAnsi"/>
          <w:iCs/>
          <w:lang w:val="en-US"/>
        </w:rPr>
        <w:t>be influential in ways similar to national gover</w:t>
      </w:r>
      <w:r w:rsidR="0067572C" w:rsidRPr="00FE5BE3">
        <w:rPr>
          <w:rFonts w:asciiTheme="majorHAnsi" w:hAnsiTheme="majorHAnsi"/>
          <w:iCs/>
          <w:lang w:val="en-US"/>
        </w:rPr>
        <w:t xml:space="preserve">nments and international </w:t>
      </w:r>
      <w:proofErr w:type="spellStart"/>
      <w:r w:rsidR="0067572C" w:rsidRPr="00FE5BE3">
        <w:rPr>
          <w:rFonts w:asciiTheme="majorHAnsi" w:hAnsiTheme="majorHAnsi"/>
          <w:iCs/>
          <w:lang w:val="en-US"/>
        </w:rPr>
        <w:t>organis</w:t>
      </w:r>
      <w:r w:rsidRPr="00FE5BE3">
        <w:rPr>
          <w:rFonts w:asciiTheme="majorHAnsi" w:hAnsiTheme="majorHAnsi"/>
          <w:iCs/>
          <w:lang w:val="en-US"/>
        </w:rPr>
        <w:t>ations</w:t>
      </w:r>
      <w:proofErr w:type="spellEnd"/>
      <w:r w:rsidRPr="00FE5BE3">
        <w:rPr>
          <w:rFonts w:asciiTheme="majorHAnsi" w:hAnsiTheme="majorHAnsi"/>
          <w:iCs/>
          <w:lang w:val="en-US"/>
        </w:rPr>
        <w:t xml:space="preserve">. </w:t>
      </w:r>
      <w:r w:rsidR="006732E9" w:rsidRPr="00FE5BE3">
        <w:rPr>
          <w:rFonts w:asciiTheme="majorHAnsi" w:hAnsiTheme="majorHAnsi"/>
          <w:iCs/>
          <w:lang w:val="en-US"/>
        </w:rPr>
        <w:t xml:space="preserve">For example, Pearson has developed </w:t>
      </w:r>
      <w:r w:rsidR="006732E9" w:rsidRPr="00FE5BE3">
        <w:rPr>
          <w:rFonts w:asciiTheme="majorHAnsi" w:hAnsiTheme="majorHAnsi"/>
          <w:i/>
          <w:iCs/>
          <w:lang w:val="en-US"/>
        </w:rPr>
        <w:t>The Learning Curve (TLC)</w:t>
      </w:r>
      <w:r w:rsidR="00F71AA3" w:rsidRPr="00FE5BE3">
        <w:rPr>
          <w:rFonts w:asciiTheme="majorHAnsi" w:hAnsiTheme="majorHAnsi"/>
          <w:i/>
          <w:iCs/>
          <w:lang w:val="en-US"/>
        </w:rPr>
        <w:t>,</w:t>
      </w:r>
      <w:r w:rsidR="006732E9" w:rsidRPr="00FE5BE3">
        <w:rPr>
          <w:rFonts w:asciiTheme="majorHAnsi" w:hAnsiTheme="majorHAnsi"/>
          <w:i/>
          <w:iCs/>
          <w:lang w:val="en-US"/>
        </w:rPr>
        <w:t xml:space="preserve"> </w:t>
      </w:r>
      <w:r w:rsidR="006732E9" w:rsidRPr="00FE5BE3">
        <w:rPr>
          <w:rFonts w:asciiTheme="majorHAnsi" w:hAnsiTheme="majorHAnsi" w:cs="Calibri"/>
        </w:rPr>
        <w:t>a fifty page report and associated website and database</w:t>
      </w:r>
      <w:r w:rsidR="00DB417B" w:rsidRPr="00FE5BE3">
        <w:rPr>
          <w:rFonts w:asciiTheme="majorHAnsi" w:hAnsiTheme="majorHAnsi" w:cs="Calibri"/>
        </w:rPr>
        <w:t xml:space="preserve"> that offers recommendations for the reform of national schooling systems. </w:t>
      </w:r>
      <w:r w:rsidR="00F71AA3" w:rsidRPr="00FE5BE3">
        <w:rPr>
          <w:rFonts w:asciiTheme="majorHAnsi" w:hAnsiTheme="majorHAnsi" w:cs="Calibri"/>
          <w:i/>
        </w:rPr>
        <w:t xml:space="preserve">TLC </w:t>
      </w:r>
      <w:r w:rsidR="00F71AA3" w:rsidRPr="00FE5BE3">
        <w:rPr>
          <w:rFonts w:asciiTheme="majorHAnsi" w:hAnsiTheme="majorHAnsi" w:cs="Calibri"/>
        </w:rPr>
        <w:t>draws on international performance data collected by various international organisations, such as the Organisation for Economic Cooperation and Development (OECD), the International Association for the Evaluation of Educational Achievement (IEA)</w:t>
      </w:r>
      <w:r w:rsidR="0067572C" w:rsidRPr="00FE5BE3">
        <w:rPr>
          <w:rFonts w:asciiTheme="majorHAnsi" w:hAnsiTheme="majorHAnsi" w:cs="Calibri"/>
        </w:rPr>
        <w:t xml:space="preserve"> and </w:t>
      </w:r>
      <w:r w:rsidR="00F71AA3" w:rsidRPr="00FE5BE3">
        <w:rPr>
          <w:rFonts w:asciiTheme="majorHAnsi" w:hAnsiTheme="majorHAnsi" w:cs="Calibri"/>
        </w:rPr>
        <w:t>the United Nations (UN)</w:t>
      </w:r>
      <w:r w:rsidR="0067572C" w:rsidRPr="00FE5BE3">
        <w:rPr>
          <w:rFonts w:asciiTheme="majorHAnsi" w:hAnsiTheme="majorHAnsi" w:cs="Calibri"/>
        </w:rPr>
        <w:t>. In synthesising these data, Pearson argues they have been able to assemble ‘in one place a wide range of data sets which will enable researchers and policymakers to correlate education outcomes with wider social and economic outcomes more easily than ever before’ (</w:t>
      </w:r>
      <w:r w:rsidR="0012311A" w:rsidRPr="00FE5BE3">
        <w:rPr>
          <w:rFonts w:asciiTheme="majorHAnsi" w:hAnsiTheme="majorHAnsi" w:cs="Calibri"/>
        </w:rPr>
        <w:t>Pearson</w:t>
      </w:r>
      <w:r w:rsidR="0067572C" w:rsidRPr="00FE5BE3">
        <w:rPr>
          <w:rFonts w:asciiTheme="majorHAnsi" w:hAnsiTheme="majorHAnsi" w:cs="Calibri"/>
        </w:rPr>
        <w:t xml:space="preserve">, 2012, p.3). </w:t>
      </w:r>
    </w:p>
    <w:p w14:paraId="3E39D0F3" w14:textId="0346628D" w:rsidR="0067572C" w:rsidRPr="00FE5BE3" w:rsidRDefault="0067572C" w:rsidP="0067572C">
      <w:pPr>
        <w:spacing w:after="120"/>
        <w:rPr>
          <w:rFonts w:asciiTheme="majorHAnsi" w:hAnsiTheme="majorHAnsi" w:cs="Calibri"/>
        </w:rPr>
      </w:pPr>
      <w:r w:rsidRPr="00FE5BE3">
        <w:rPr>
          <w:rFonts w:asciiTheme="majorHAnsi" w:hAnsiTheme="majorHAnsi" w:cs="Calibri"/>
          <w:iCs/>
        </w:rPr>
        <w:lastRenderedPageBreak/>
        <w:t xml:space="preserve">While Pearson expresses caution about using their research as a ‘holy grail’, </w:t>
      </w:r>
      <w:r w:rsidRPr="00FE5BE3">
        <w:rPr>
          <w:rFonts w:asciiTheme="majorHAnsi" w:hAnsiTheme="majorHAnsi" w:cs="Calibri"/>
          <w:i/>
          <w:iCs/>
        </w:rPr>
        <w:t>TLC</w:t>
      </w:r>
      <w:r w:rsidRPr="00FE5BE3">
        <w:rPr>
          <w:rFonts w:asciiTheme="majorHAnsi" w:hAnsiTheme="majorHAnsi" w:cs="Calibri"/>
          <w:iCs/>
        </w:rPr>
        <w:t xml:space="preserve"> nonetheless outlines a number of ‘definite signposts’ for educational policymakers. The key findings of the report include the observation that strong relationships are few between education inputs and outputs; that income matters but culture matters more; that there is no substitute for good teachers; that good information is crucial for school choice; that there is no single path to better labour market outcomes; and that a global index can help highlight educational strengths and weaknesses (</w:t>
      </w:r>
      <w:r w:rsidR="0012311A" w:rsidRPr="00FE5BE3">
        <w:rPr>
          <w:rFonts w:asciiTheme="majorHAnsi" w:hAnsiTheme="majorHAnsi" w:cs="Calibri"/>
          <w:iCs/>
        </w:rPr>
        <w:t>Pearson</w:t>
      </w:r>
      <w:r w:rsidRPr="00FE5BE3">
        <w:rPr>
          <w:rFonts w:asciiTheme="majorHAnsi" w:hAnsiTheme="majorHAnsi" w:cs="Calibri"/>
          <w:iCs/>
        </w:rPr>
        <w:t>, 2012, p.8). The report then offers five key lessons for educational policymakers in terms of reform:</w:t>
      </w:r>
    </w:p>
    <w:p w14:paraId="4B11D757" w14:textId="77777777" w:rsidR="0067572C" w:rsidRPr="00FE5BE3" w:rsidRDefault="0067572C" w:rsidP="0067572C">
      <w:pPr>
        <w:pStyle w:val="ColorfulList-Accent11"/>
        <w:numPr>
          <w:ilvl w:val="0"/>
          <w:numId w:val="3"/>
        </w:numPr>
        <w:spacing w:after="120" w:line="240" w:lineRule="auto"/>
        <w:ind w:left="1077" w:hanging="357"/>
        <w:rPr>
          <w:rFonts w:asciiTheme="majorHAnsi" w:hAnsiTheme="majorHAnsi" w:cs="Calibri"/>
          <w:iCs/>
          <w:sz w:val="24"/>
          <w:szCs w:val="24"/>
        </w:rPr>
      </w:pPr>
      <w:r w:rsidRPr="00FE5BE3">
        <w:rPr>
          <w:rFonts w:asciiTheme="majorHAnsi" w:hAnsiTheme="majorHAnsi" w:cs="Calibri"/>
          <w:iCs/>
          <w:sz w:val="24"/>
          <w:szCs w:val="24"/>
        </w:rPr>
        <w:t xml:space="preserve">There are no magic bullets </w:t>
      </w:r>
    </w:p>
    <w:p w14:paraId="067EEF03" w14:textId="77777777" w:rsidR="0067572C" w:rsidRPr="00FE5BE3" w:rsidRDefault="0067572C" w:rsidP="0067572C">
      <w:pPr>
        <w:pStyle w:val="ColorfulList-Accent11"/>
        <w:numPr>
          <w:ilvl w:val="0"/>
          <w:numId w:val="3"/>
        </w:numPr>
        <w:spacing w:after="120" w:line="240" w:lineRule="auto"/>
        <w:ind w:left="1077" w:hanging="357"/>
        <w:rPr>
          <w:rFonts w:asciiTheme="majorHAnsi" w:hAnsiTheme="majorHAnsi" w:cs="Calibri"/>
          <w:iCs/>
          <w:sz w:val="24"/>
          <w:szCs w:val="24"/>
        </w:rPr>
      </w:pPr>
      <w:r w:rsidRPr="00FE5BE3">
        <w:rPr>
          <w:rFonts w:asciiTheme="majorHAnsi" w:hAnsiTheme="majorHAnsi" w:cs="Calibri"/>
          <w:iCs/>
          <w:sz w:val="24"/>
          <w:szCs w:val="24"/>
        </w:rPr>
        <w:t>Respect teachers</w:t>
      </w:r>
    </w:p>
    <w:p w14:paraId="4EA407BA" w14:textId="77777777" w:rsidR="0067572C" w:rsidRPr="00FE5BE3" w:rsidRDefault="0067572C" w:rsidP="0067572C">
      <w:pPr>
        <w:pStyle w:val="ColorfulList-Accent11"/>
        <w:numPr>
          <w:ilvl w:val="0"/>
          <w:numId w:val="3"/>
        </w:numPr>
        <w:spacing w:after="120" w:line="240" w:lineRule="auto"/>
        <w:ind w:left="1077" w:hanging="357"/>
        <w:rPr>
          <w:rFonts w:asciiTheme="majorHAnsi" w:hAnsiTheme="majorHAnsi" w:cs="Calibri"/>
          <w:iCs/>
          <w:sz w:val="24"/>
          <w:szCs w:val="24"/>
        </w:rPr>
      </w:pPr>
      <w:r w:rsidRPr="00FE5BE3">
        <w:rPr>
          <w:rFonts w:asciiTheme="majorHAnsi" w:hAnsiTheme="majorHAnsi" w:cs="Calibri"/>
          <w:iCs/>
          <w:sz w:val="24"/>
          <w:szCs w:val="24"/>
        </w:rPr>
        <w:t>Culture can be changed</w:t>
      </w:r>
    </w:p>
    <w:p w14:paraId="05C948E9" w14:textId="77777777" w:rsidR="0067572C" w:rsidRPr="00FE5BE3" w:rsidRDefault="0067572C" w:rsidP="0067572C">
      <w:pPr>
        <w:pStyle w:val="ColorfulList-Accent11"/>
        <w:numPr>
          <w:ilvl w:val="0"/>
          <w:numId w:val="3"/>
        </w:numPr>
        <w:spacing w:after="120" w:line="240" w:lineRule="auto"/>
        <w:ind w:left="1077" w:hanging="357"/>
        <w:rPr>
          <w:rFonts w:asciiTheme="majorHAnsi" w:hAnsiTheme="majorHAnsi" w:cs="Calibri"/>
          <w:iCs/>
          <w:sz w:val="24"/>
          <w:szCs w:val="24"/>
        </w:rPr>
      </w:pPr>
      <w:r w:rsidRPr="00FE5BE3">
        <w:rPr>
          <w:rFonts w:asciiTheme="majorHAnsi" w:hAnsiTheme="majorHAnsi" w:cs="Calibri"/>
          <w:iCs/>
          <w:sz w:val="24"/>
          <w:szCs w:val="24"/>
        </w:rPr>
        <w:t xml:space="preserve">Parents are neither impediments to nor </w:t>
      </w:r>
      <w:proofErr w:type="spellStart"/>
      <w:r w:rsidRPr="00FE5BE3">
        <w:rPr>
          <w:rFonts w:asciiTheme="majorHAnsi" w:hAnsiTheme="majorHAnsi" w:cs="Calibri"/>
          <w:iCs/>
          <w:sz w:val="24"/>
          <w:szCs w:val="24"/>
        </w:rPr>
        <w:t>saviours</w:t>
      </w:r>
      <w:proofErr w:type="spellEnd"/>
      <w:r w:rsidRPr="00FE5BE3">
        <w:rPr>
          <w:rFonts w:asciiTheme="majorHAnsi" w:hAnsiTheme="majorHAnsi" w:cs="Calibri"/>
          <w:iCs/>
          <w:sz w:val="24"/>
          <w:szCs w:val="24"/>
        </w:rPr>
        <w:t xml:space="preserve"> of education</w:t>
      </w:r>
    </w:p>
    <w:p w14:paraId="15FEBA0F" w14:textId="3E3F7691" w:rsidR="0067572C" w:rsidRPr="00FE5BE3" w:rsidRDefault="0067572C" w:rsidP="0067572C">
      <w:pPr>
        <w:pStyle w:val="ColorfulList-Accent11"/>
        <w:numPr>
          <w:ilvl w:val="0"/>
          <w:numId w:val="3"/>
        </w:numPr>
        <w:spacing w:after="120" w:line="240" w:lineRule="auto"/>
        <w:ind w:left="1077" w:hanging="357"/>
        <w:rPr>
          <w:rFonts w:asciiTheme="majorHAnsi" w:hAnsiTheme="majorHAnsi" w:cs="Calibri"/>
          <w:iCs/>
          <w:sz w:val="24"/>
          <w:szCs w:val="24"/>
        </w:rPr>
      </w:pPr>
      <w:r w:rsidRPr="00FE5BE3">
        <w:rPr>
          <w:rFonts w:asciiTheme="majorHAnsi" w:hAnsiTheme="majorHAnsi" w:cs="Calibri"/>
          <w:iCs/>
          <w:sz w:val="24"/>
          <w:szCs w:val="24"/>
        </w:rPr>
        <w:t>Educate for the future, not just the present (</w:t>
      </w:r>
      <w:r w:rsidR="0012311A" w:rsidRPr="00FE5BE3">
        <w:rPr>
          <w:rFonts w:asciiTheme="majorHAnsi" w:hAnsiTheme="majorHAnsi" w:cs="Calibri"/>
          <w:iCs/>
          <w:sz w:val="24"/>
          <w:szCs w:val="24"/>
        </w:rPr>
        <w:t>Pearson,</w:t>
      </w:r>
      <w:r w:rsidRPr="00FE5BE3">
        <w:rPr>
          <w:rFonts w:asciiTheme="majorHAnsi" w:hAnsiTheme="majorHAnsi" w:cs="Calibri"/>
          <w:iCs/>
          <w:sz w:val="24"/>
          <w:szCs w:val="24"/>
        </w:rPr>
        <w:t xml:space="preserve"> 2012, 11)</w:t>
      </w:r>
    </w:p>
    <w:p w14:paraId="683499C1" w14:textId="77777777" w:rsidR="0067572C" w:rsidRPr="00FE5BE3" w:rsidRDefault="0067572C" w:rsidP="0067572C">
      <w:pPr>
        <w:spacing w:after="120"/>
        <w:rPr>
          <w:rFonts w:asciiTheme="majorHAnsi" w:hAnsiTheme="majorHAnsi" w:cs="Calibri"/>
          <w:iCs/>
        </w:rPr>
      </w:pPr>
      <w:r w:rsidRPr="00FE5BE3">
        <w:rPr>
          <w:rFonts w:asciiTheme="majorHAnsi" w:hAnsiTheme="majorHAnsi" w:cs="Calibri"/>
          <w:iCs/>
        </w:rPr>
        <w:t xml:space="preserve">Despite drawing out these ‘key lessons’, </w:t>
      </w:r>
      <w:r w:rsidRPr="00FE5BE3">
        <w:rPr>
          <w:rFonts w:asciiTheme="majorHAnsi" w:hAnsiTheme="majorHAnsi" w:cs="Calibri"/>
          <w:i/>
          <w:iCs/>
        </w:rPr>
        <w:t>TLC</w:t>
      </w:r>
      <w:r w:rsidRPr="00FE5BE3">
        <w:rPr>
          <w:rFonts w:asciiTheme="majorHAnsi" w:hAnsiTheme="majorHAnsi" w:cs="Calibri"/>
          <w:iCs/>
        </w:rPr>
        <w:t xml:space="preserve"> was able to show only a handful of strong links: that higher GDP related to better PISA results; that better scores on the United Nations Development Program (UNDP) Human Development Index and Income Index are associated with higher upper secondary graduation rates; and that there is a link between more years spent in school and higher labour productivity. </w:t>
      </w:r>
    </w:p>
    <w:p w14:paraId="44FB65D1" w14:textId="23B46D20" w:rsidR="0067572C" w:rsidRPr="00FE5BE3" w:rsidRDefault="0067572C" w:rsidP="0067572C">
      <w:pPr>
        <w:spacing w:after="120"/>
        <w:rPr>
          <w:rFonts w:asciiTheme="majorHAnsi" w:hAnsiTheme="majorHAnsi" w:cs="Calibri"/>
          <w:iCs/>
        </w:rPr>
      </w:pPr>
      <w:r w:rsidRPr="00FE5BE3">
        <w:rPr>
          <w:rFonts w:asciiTheme="majorHAnsi" w:hAnsiTheme="majorHAnsi" w:cs="Calibri"/>
          <w:iCs/>
        </w:rPr>
        <w:t xml:space="preserve">The report explains that straightforward correlations are difficult to find and, as a result, ‘education remains a black box in which inputs are turned into outputs in ways that are difficult to predict or quantify consistently’ (p.7). In fact, when reading the report there seems to be a marked shift from the strong beginning claims that </w:t>
      </w:r>
      <w:r w:rsidRPr="00FE5BE3">
        <w:rPr>
          <w:rFonts w:asciiTheme="majorHAnsi" w:hAnsiTheme="majorHAnsi" w:cs="Calibri"/>
          <w:i/>
          <w:iCs/>
        </w:rPr>
        <w:t xml:space="preserve">TLC </w:t>
      </w:r>
      <w:r w:rsidRPr="00FE5BE3">
        <w:rPr>
          <w:rFonts w:asciiTheme="majorHAnsi" w:hAnsiTheme="majorHAnsi" w:cs="Calibri"/>
          <w:iCs/>
        </w:rPr>
        <w:t>is an important tool for assisting policymakers to quantify the link between knowledge and skills and economic competiveness, and the realisation that ‘the most striking result for correlations is the overall paucity of clear linkages’ (p.14). From here the report suggests that the ‘main message of the lack of strong correlations should be humility’ (p.17).</w:t>
      </w:r>
    </w:p>
    <w:p w14:paraId="1062A0E1" w14:textId="2BAD4970" w:rsidR="0067572C" w:rsidRPr="00FE5BE3" w:rsidRDefault="0067572C" w:rsidP="0067572C">
      <w:pPr>
        <w:spacing w:after="120"/>
        <w:rPr>
          <w:rFonts w:asciiTheme="majorHAnsi" w:hAnsiTheme="majorHAnsi" w:cs="Calibri"/>
        </w:rPr>
      </w:pPr>
      <w:r w:rsidRPr="00FE5BE3">
        <w:rPr>
          <w:rFonts w:asciiTheme="majorHAnsi" w:hAnsiTheme="majorHAnsi" w:cs="Calibri"/>
        </w:rPr>
        <w:t xml:space="preserve">Despite these shortcomings, the reductive nature of </w:t>
      </w:r>
      <w:r w:rsidRPr="00FE5BE3">
        <w:rPr>
          <w:rFonts w:asciiTheme="majorHAnsi" w:hAnsiTheme="majorHAnsi" w:cs="Calibri"/>
          <w:i/>
        </w:rPr>
        <w:t>TLC</w:t>
      </w:r>
      <w:r w:rsidRPr="00FE5BE3">
        <w:rPr>
          <w:rFonts w:asciiTheme="majorHAnsi" w:hAnsiTheme="majorHAnsi" w:cs="Calibri"/>
        </w:rPr>
        <w:t xml:space="preserve"> </w:t>
      </w:r>
      <w:r w:rsidR="00FF7D7B" w:rsidRPr="00FE5BE3">
        <w:rPr>
          <w:rFonts w:asciiTheme="majorHAnsi" w:hAnsiTheme="majorHAnsi" w:cs="Calibri"/>
        </w:rPr>
        <w:t xml:space="preserve">that condenses well-established data sets into easy-to-read formats with </w:t>
      </w:r>
      <w:r w:rsidR="00FF7D7B" w:rsidRPr="00FE5BE3">
        <w:rPr>
          <w:rFonts w:asciiTheme="majorHAnsi" w:hAnsiTheme="majorHAnsi" w:cs="Calibri"/>
          <w:iCs/>
        </w:rPr>
        <w:t xml:space="preserve">clear policy prescriptions is part of the new policy genre that plays on the anxieties of national policy makers. </w:t>
      </w:r>
      <w:r w:rsidRPr="00FE5BE3">
        <w:rPr>
          <w:rFonts w:asciiTheme="majorHAnsi" w:hAnsiTheme="majorHAnsi"/>
        </w:rPr>
        <w:t xml:space="preserve">In providing national governments </w:t>
      </w:r>
      <w:r w:rsidR="008D6377" w:rsidRPr="00FE5BE3">
        <w:rPr>
          <w:rFonts w:asciiTheme="majorHAnsi" w:hAnsiTheme="majorHAnsi"/>
        </w:rPr>
        <w:t xml:space="preserve">with </w:t>
      </w:r>
      <w:r w:rsidRPr="00FE5BE3">
        <w:rPr>
          <w:rFonts w:asciiTheme="majorHAnsi" w:hAnsiTheme="majorHAnsi"/>
        </w:rPr>
        <w:t xml:space="preserve">a succinct </w:t>
      </w:r>
      <w:r w:rsidR="008D6377" w:rsidRPr="00FE5BE3">
        <w:rPr>
          <w:rFonts w:asciiTheme="majorHAnsi" w:hAnsiTheme="majorHAnsi"/>
        </w:rPr>
        <w:t xml:space="preserve">construction </w:t>
      </w:r>
      <w:r w:rsidRPr="00FE5BE3">
        <w:rPr>
          <w:rFonts w:asciiTheme="majorHAnsi" w:hAnsiTheme="majorHAnsi"/>
        </w:rPr>
        <w:t xml:space="preserve">of policy ‘problems’, Pearson can then offer policy makers </w:t>
      </w:r>
      <w:r w:rsidRPr="00FE5BE3">
        <w:rPr>
          <w:rFonts w:asciiTheme="majorHAnsi" w:hAnsiTheme="majorHAnsi"/>
          <w:i/>
        </w:rPr>
        <w:t>guaranteed</w:t>
      </w:r>
      <w:r w:rsidRPr="00FE5BE3">
        <w:rPr>
          <w:rFonts w:asciiTheme="majorHAnsi" w:hAnsiTheme="majorHAnsi"/>
        </w:rPr>
        <w:t xml:space="preserve"> ‘solutions’ through the selling of their </w:t>
      </w:r>
      <w:r w:rsidRPr="00FE5BE3">
        <w:rPr>
          <w:rFonts w:asciiTheme="majorHAnsi" w:hAnsiTheme="majorHAnsi"/>
          <w:i/>
        </w:rPr>
        <w:t>efficacious</w:t>
      </w:r>
      <w:r w:rsidRPr="00FE5BE3">
        <w:rPr>
          <w:rFonts w:asciiTheme="majorHAnsi" w:hAnsiTheme="majorHAnsi"/>
        </w:rPr>
        <w:t xml:space="preserve"> products and services.  </w:t>
      </w:r>
      <w:r w:rsidR="008D6377" w:rsidRPr="00FE5BE3">
        <w:rPr>
          <w:rFonts w:asciiTheme="majorHAnsi" w:hAnsiTheme="majorHAnsi"/>
        </w:rPr>
        <w:t>W</w:t>
      </w:r>
      <w:r w:rsidRPr="00FE5BE3">
        <w:rPr>
          <w:rFonts w:asciiTheme="majorHAnsi" w:hAnsiTheme="majorHAnsi"/>
        </w:rPr>
        <w:t xml:space="preserve">e </w:t>
      </w:r>
      <w:r w:rsidRPr="00FE5BE3">
        <w:rPr>
          <w:rFonts w:asciiTheme="majorHAnsi" w:hAnsiTheme="majorHAnsi" w:cs="Calibri"/>
        </w:rPr>
        <w:t xml:space="preserve">would argue that </w:t>
      </w:r>
      <w:r w:rsidRPr="00FE5BE3">
        <w:rPr>
          <w:rFonts w:asciiTheme="majorHAnsi" w:hAnsiTheme="majorHAnsi" w:cs="Calibri"/>
          <w:i/>
        </w:rPr>
        <w:t>TLC</w:t>
      </w:r>
      <w:r w:rsidRPr="00FE5BE3">
        <w:rPr>
          <w:rFonts w:asciiTheme="majorHAnsi" w:hAnsiTheme="majorHAnsi" w:cs="Calibri"/>
        </w:rPr>
        <w:t xml:space="preserve"> is a branding device for Pearson, indicative of their new focus on outcomes</w:t>
      </w:r>
      <w:r w:rsidR="008D6377" w:rsidRPr="00FE5BE3">
        <w:rPr>
          <w:rFonts w:asciiTheme="majorHAnsi" w:hAnsiTheme="majorHAnsi" w:cs="Calibri"/>
        </w:rPr>
        <w:t>,</w:t>
      </w:r>
      <w:r w:rsidRPr="00FE5BE3">
        <w:rPr>
          <w:rFonts w:asciiTheme="majorHAnsi" w:hAnsiTheme="majorHAnsi" w:cs="Calibri"/>
        </w:rPr>
        <w:t xml:space="preserve"> and an evidence-base </w:t>
      </w:r>
      <w:r w:rsidR="008D6377" w:rsidRPr="00FE5BE3">
        <w:rPr>
          <w:rFonts w:asciiTheme="majorHAnsi" w:hAnsiTheme="majorHAnsi" w:cs="Calibri"/>
        </w:rPr>
        <w:t xml:space="preserve">for potentially </w:t>
      </w:r>
      <w:r w:rsidRPr="00FE5BE3">
        <w:rPr>
          <w:rFonts w:asciiTheme="majorHAnsi" w:hAnsiTheme="majorHAnsi" w:cs="Calibri"/>
        </w:rPr>
        <w:t>demonstrating return on investment for its customers</w:t>
      </w:r>
      <w:r w:rsidR="008D6377" w:rsidRPr="00FE5BE3">
        <w:rPr>
          <w:rFonts w:asciiTheme="majorHAnsi" w:hAnsiTheme="majorHAnsi" w:cs="Calibri"/>
        </w:rPr>
        <w:t>:</w:t>
      </w:r>
      <w:r w:rsidRPr="00FE5BE3">
        <w:rPr>
          <w:rFonts w:asciiTheme="majorHAnsi" w:hAnsiTheme="majorHAnsi" w:cs="Calibri"/>
        </w:rPr>
        <w:t xml:space="preserve"> national and provincial governments, education systems and individual institutions, in both developed and developing countries.</w:t>
      </w:r>
    </w:p>
    <w:p w14:paraId="3B6036F8" w14:textId="24A7E704" w:rsidR="00215B7B" w:rsidRPr="00FE5BE3" w:rsidRDefault="000E34B5" w:rsidP="00C66300">
      <w:pPr>
        <w:spacing w:after="120"/>
        <w:rPr>
          <w:rFonts w:asciiTheme="majorHAnsi" w:hAnsiTheme="majorHAnsi" w:cs="Calibri"/>
        </w:rPr>
      </w:pPr>
      <w:r w:rsidRPr="00FE5BE3">
        <w:rPr>
          <w:rFonts w:asciiTheme="majorHAnsi" w:hAnsiTheme="majorHAnsi" w:cs="Calibri"/>
        </w:rPr>
        <w:t xml:space="preserve">While Pearson may </w:t>
      </w:r>
      <w:r w:rsidR="008D6377" w:rsidRPr="00FE5BE3">
        <w:rPr>
          <w:rFonts w:asciiTheme="majorHAnsi" w:hAnsiTheme="majorHAnsi" w:cs="Calibri"/>
        </w:rPr>
        <w:t xml:space="preserve">be </w:t>
      </w:r>
      <w:r w:rsidRPr="00FE5BE3">
        <w:rPr>
          <w:rFonts w:asciiTheme="majorHAnsi" w:hAnsiTheme="majorHAnsi" w:cs="Calibri"/>
        </w:rPr>
        <w:t>work</w:t>
      </w:r>
      <w:r w:rsidR="008D6377" w:rsidRPr="00FE5BE3">
        <w:rPr>
          <w:rFonts w:asciiTheme="majorHAnsi" w:hAnsiTheme="majorHAnsi" w:cs="Calibri"/>
        </w:rPr>
        <w:t>ing</w:t>
      </w:r>
      <w:r w:rsidRPr="00FE5BE3">
        <w:rPr>
          <w:rFonts w:asciiTheme="majorHAnsi" w:hAnsiTheme="majorHAnsi" w:cs="Calibri"/>
        </w:rPr>
        <w:t xml:space="preserve"> to </w:t>
      </w:r>
      <w:r w:rsidR="008D6377" w:rsidRPr="00FE5BE3">
        <w:rPr>
          <w:rFonts w:asciiTheme="majorHAnsi" w:hAnsiTheme="majorHAnsi" w:cs="Calibri"/>
        </w:rPr>
        <w:t xml:space="preserve">present </w:t>
      </w:r>
      <w:r w:rsidRPr="00FE5BE3">
        <w:rPr>
          <w:rFonts w:asciiTheme="majorHAnsi" w:hAnsiTheme="majorHAnsi" w:cs="Calibri"/>
        </w:rPr>
        <w:t xml:space="preserve">itself as a socially responsible edu-business, </w:t>
      </w:r>
      <w:r w:rsidR="008D6377" w:rsidRPr="00FE5BE3">
        <w:rPr>
          <w:rFonts w:asciiTheme="majorHAnsi" w:hAnsiTheme="majorHAnsi" w:cs="Calibri"/>
        </w:rPr>
        <w:t xml:space="preserve">clearly the success of the company rests upon </w:t>
      </w:r>
      <w:r w:rsidRPr="00FE5BE3">
        <w:rPr>
          <w:rFonts w:asciiTheme="majorHAnsi" w:hAnsiTheme="majorHAnsi" w:cs="Calibri"/>
        </w:rPr>
        <w:t xml:space="preserve">profit. </w:t>
      </w:r>
      <w:r w:rsidR="008D6377" w:rsidRPr="00FE5BE3">
        <w:rPr>
          <w:rFonts w:asciiTheme="majorHAnsi" w:hAnsiTheme="majorHAnsi" w:cs="Calibri"/>
        </w:rPr>
        <w:t>For example, t</w:t>
      </w:r>
      <w:r w:rsidRPr="00FE5BE3">
        <w:rPr>
          <w:rFonts w:asciiTheme="majorHAnsi" w:hAnsiTheme="majorHAnsi" w:cs="Calibri"/>
        </w:rPr>
        <w:t xml:space="preserve">he recent work of </w:t>
      </w:r>
      <w:proofErr w:type="spellStart"/>
      <w:r w:rsidR="009F683E" w:rsidRPr="00FE5BE3">
        <w:rPr>
          <w:rFonts w:asciiTheme="majorHAnsi" w:hAnsiTheme="majorHAnsi"/>
          <w:iCs/>
          <w:lang w:val="en-US"/>
        </w:rPr>
        <w:t>Junemann</w:t>
      </w:r>
      <w:proofErr w:type="spellEnd"/>
      <w:r w:rsidR="009F683E" w:rsidRPr="00FE5BE3">
        <w:rPr>
          <w:rFonts w:asciiTheme="majorHAnsi" w:hAnsiTheme="majorHAnsi"/>
          <w:iCs/>
          <w:lang w:val="en-US"/>
        </w:rPr>
        <w:t xml:space="preserve"> and Ball (2015) and </w:t>
      </w:r>
      <w:proofErr w:type="spellStart"/>
      <w:r w:rsidR="00D20097" w:rsidRPr="00FE5BE3">
        <w:rPr>
          <w:rFonts w:asciiTheme="majorHAnsi" w:hAnsiTheme="majorHAnsi"/>
          <w:iCs/>
          <w:lang w:val="en-US"/>
        </w:rPr>
        <w:t>Riep</w:t>
      </w:r>
      <w:proofErr w:type="spellEnd"/>
      <w:r w:rsidR="00D20097" w:rsidRPr="00FE5BE3">
        <w:rPr>
          <w:rFonts w:asciiTheme="majorHAnsi" w:hAnsiTheme="majorHAnsi"/>
          <w:iCs/>
          <w:lang w:val="en-US"/>
        </w:rPr>
        <w:t xml:space="preserve"> (2015)</w:t>
      </w:r>
      <w:r w:rsidRPr="00FE5BE3">
        <w:rPr>
          <w:rFonts w:asciiTheme="majorHAnsi" w:hAnsiTheme="majorHAnsi"/>
          <w:iCs/>
          <w:lang w:val="en-US"/>
        </w:rPr>
        <w:t>,</w:t>
      </w:r>
      <w:r w:rsidR="00D20097" w:rsidRPr="00FE5BE3">
        <w:rPr>
          <w:rFonts w:asciiTheme="majorHAnsi" w:hAnsiTheme="majorHAnsi"/>
          <w:iCs/>
          <w:lang w:val="en-US"/>
        </w:rPr>
        <w:t xml:space="preserve"> </w:t>
      </w:r>
      <w:r w:rsidRPr="00FE5BE3">
        <w:rPr>
          <w:rFonts w:asciiTheme="majorHAnsi" w:hAnsiTheme="majorHAnsi"/>
          <w:iCs/>
          <w:lang w:val="en-US"/>
        </w:rPr>
        <w:t xml:space="preserve">who </w:t>
      </w:r>
      <w:r w:rsidR="00D20097" w:rsidRPr="00FE5BE3">
        <w:rPr>
          <w:rFonts w:asciiTheme="majorHAnsi" w:hAnsiTheme="majorHAnsi"/>
          <w:iCs/>
          <w:lang w:val="en-US"/>
        </w:rPr>
        <w:t xml:space="preserve">have </w:t>
      </w:r>
      <w:proofErr w:type="spellStart"/>
      <w:r w:rsidR="00D20097" w:rsidRPr="00FE5BE3">
        <w:rPr>
          <w:rFonts w:asciiTheme="majorHAnsi" w:hAnsiTheme="majorHAnsi"/>
          <w:iCs/>
          <w:lang w:val="en-US"/>
        </w:rPr>
        <w:t>analysed</w:t>
      </w:r>
      <w:proofErr w:type="spellEnd"/>
      <w:r w:rsidR="00D20097" w:rsidRPr="00FE5BE3">
        <w:rPr>
          <w:rFonts w:asciiTheme="majorHAnsi" w:hAnsiTheme="majorHAnsi"/>
          <w:iCs/>
          <w:lang w:val="en-US"/>
        </w:rPr>
        <w:t xml:space="preserve"> how Pearson’s support for low-fee for-profit schools in nations of the Global South</w:t>
      </w:r>
      <w:r w:rsidR="008D6377" w:rsidRPr="00FE5BE3">
        <w:rPr>
          <w:rFonts w:asciiTheme="majorHAnsi" w:hAnsiTheme="majorHAnsi"/>
          <w:iCs/>
          <w:lang w:val="en-US"/>
        </w:rPr>
        <w:t>, shows how the company</w:t>
      </w:r>
      <w:r w:rsidR="00D20097" w:rsidRPr="00FE5BE3">
        <w:rPr>
          <w:rFonts w:asciiTheme="majorHAnsi" w:hAnsiTheme="majorHAnsi"/>
          <w:iCs/>
          <w:lang w:val="en-US"/>
        </w:rPr>
        <w:t xml:space="preserve"> is </w:t>
      </w:r>
      <w:r w:rsidR="008D6377" w:rsidRPr="00FE5BE3">
        <w:rPr>
          <w:rFonts w:asciiTheme="majorHAnsi" w:hAnsiTheme="majorHAnsi"/>
          <w:iCs/>
          <w:lang w:val="en-US"/>
        </w:rPr>
        <w:t>seeking to increase profit</w:t>
      </w:r>
      <w:r w:rsidR="00D20097" w:rsidRPr="00FE5BE3">
        <w:rPr>
          <w:rFonts w:asciiTheme="majorHAnsi" w:hAnsiTheme="majorHAnsi"/>
          <w:iCs/>
          <w:lang w:val="en-US"/>
        </w:rPr>
        <w:t xml:space="preserve"> </w:t>
      </w:r>
      <w:r w:rsidR="008D6377" w:rsidRPr="00FE5BE3">
        <w:rPr>
          <w:rFonts w:asciiTheme="majorHAnsi" w:hAnsiTheme="majorHAnsi"/>
          <w:iCs/>
          <w:lang w:val="en-US"/>
        </w:rPr>
        <w:t xml:space="preserve">by </w:t>
      </w:r>
      <w:r w:rsidR="00D20097" w:rsidRPr="00FE5BE3">
        <w:rPr>
          <w:rFonts w:asciiTheme="majorHAnsi" w:hAnsiTheme="majorHAnsi"/>
          <w:iCs/>
          <w:lang w:val="en-US"/>
        </w:rPr>
        <w:t>expand</w:t>
      </w:r>
      <w:r w:rsidR="008D6377" w:rsidRPr="00FE5BE3">
        <w:rPr>
          <w:rFonts w:asciiTheme="majorHAnsi" w:hAnsiTheme="majorHAnsi"/>
          <w:iCs/>
          <w:lang w:val="en-US"/>
        </w:rPr>
        <w:t>ing</w:t>
      </w:r>
      <w:r w:rsidR="00D20097" w:rsidRPr="00FE5BE3">
        <w:rPr>
          <w:rFonts w:asciiTheme="majorHAnsi" w:hAnsiTheme="majorHAnsi"/>
          <w:iCs/>
          <w:lang w:val="en-US"/>
        </w:rPr>
        <w:t xml:space="preserve"> access to </w:t>
      </w:r>
      <w:r w:rsidR="008D6377" w:rsidRPr="00FE5BE3">
        <w:rPr>
          <w:rFonts w:asciiTheme="majorHAnsi" w:hAnsiTheme="majorHAnsi"/>
          <w:iCs/>
          <w:lang w:val="en-US"/>
        </w:rPr>
        <w:t xml:space="preserve">its </w:t>
      </w:r>
      <w:r w:rsidR="00D20097" w:rsidRPr="00FE5BE3">
        <w:rPr>
          <w:rFonts w:asciiTheme="majorHAnsi" w:hAnsiTheme="majorHAnsi"/>
          <w:iCs/>
          <w:lang w:val="en-US"/>
        </w:rPr>
        <w:t>education</w:t>
      </w:r>
      <w:r w:rsidR="008D6377" w:rsidRPr="00FE5BE3">
        <w:rPr>
          <w:rFonts w:asciiTheme="majorHAnsi" w:hAnsiTheme="majorHAnsi"/>
          <w:iCs/>
          <w:lang w:val="en-US"/>
        </w:rPr>
        <w:t xml:space="preserve"> services</w:t>
      </w:r>
      <w:r w:rsidR="00D20097" w:rsidRPr="00FE5BE3">
        <w:rPr>
          <w:rFonts w:asciiTheme="majorHAnsi" w:hAnsiTheme="majorHAnsi"/>
          <w:iCs/>
          <w:lang w:val="en-US"/>
        </w:rPr>
        <w:t xml:space="preserve">. </w:t>
      </w:r>
      <w:r w:rsidR="008D6377" w:rsidRPr="00FE5BE3">
        <w:rPr>
          <w:rFonts w:asciiTheme="majorHAnsi" w:hAnsiTheme="majorHAnsi"/>
          <w:iCs/>
          <w:lang w:val="en-US"/>
        </w:rPr>
        <w:t xml:space="preserve">In the process, Pearson’s </w:t>
      </w:r>
      <w:r w:rsidR="007B18F7" w:rsidRPr="00FE5BE3">
        <w:rPr>
          <w:rFonts w:asciiTheme="majorHAnsi" w:hAnsiTheme="majorHAnsi"/>
          <w:iCs/>
          <w:lang w:val="en-US"/>
        </w:rPr>
        <w:t xml:space="preserve">projected image of social responsibility </w:t>
      </w:r>
      <w:r w:rsidR="00D20097" w:rsidRPr="00FE5BE3">
        <w:rPr>
          <w:rFonts w:asciiTheme="majorHAnsi" w:hAnsiTheme="majorHAnsi"/>
          <w:iCs/>
          <w:lang w:val="en-US"/>
        </w:rPr>
        <w:t xml:space="preserve">is </w:t>
      </w:r>
      <w:r w:rsidR="007B18F7" w:rsidRPr="00FE5BE3">
        <w:rPr>
          <w:rFonts w:asciiTheme="majorHAnsi" w:hAnsiTheme="majorHAnsi"/>
          <w:iCs/>
          <w:lang w:val="en-US"/>
        </w:rPr>
        <w:t xml:space="preserve">being </w:t>
      </w:r>
      <w:r w:rsidR="00D20097" w:rsidRPr="00FE5BE3">
        <w:rPr>
          <w:rFonts w:asciiTheme="majorHAnsi" w:hAnsiTheme="majorHAnsi"/>
          <w:iCs/>
          <w:lang w:val="en-US"/>
        </w:rPr>
        <w:t xml:space="preserve">quickly eroded by the positioning of low-fee for-profit schools as </w:t>
      </w:r>
      <w:r w:rsidR="007B18F7" w:rsidRPr="00FE5BE3">
        <w:rPr>
          <w:rFonts w:asciiTheme="majorHAnsi" w:hAnsiTheme="majorHAnsi"/>
          <w:iCs/>
          <w:lang w:val="en-US"/>
        </w:rPr>
        <w:t>part of</w:t>
      </w:r>
      <w:r w:rsidR="00D20097" w:rsidRPr="00FE5BE3">
        <w:rPr>
          <w:rFonts w:asciiTheme="majorHAnsi" w:hAnsiTheme="majorHAnsi"/>
          <w:iCs/>
          <w:lang w:val="en-US"/>
        </w:rPr>
        <w:t xml:space="preserve"> </w:t>
      </w:r>
      <w:r w:rsidR="007B18F7" w:rsidRPr="00FE5BE3">
        <w:rPr>
          <w:rFonts w:asciiTheme="majorHAnsi" w:hAnsiTheme="majorHAnsi"/>
          <w:iCs/>
          <w:lang w:val="en-US"/>
        </w:rPr>
        <w:t xml:space="preserve">its </w:t>
      </w:r>
      <w:r w:rsidR="00D20097" w:rsidRPr="00FE5BE3">
        <w:rPr>
          <w:rFonts w:asciiTheme="majorHAnsi" w:hAnsiTheme="majorHAnsi"/>
          <w:iCs/>
          <w:lang w:val="en-US"/>
        </w:rPr>
        <w:t>corporate growth</w:t>
      </w:r>
      <w:r w:rsidR="006732E9" w:rsidRPr="00FE5BE3">
        <w:rPr>
          <w:rFonts w:asciiTheme="majorHAnsi" w:hAnsiTheme="majorHAnsi"/>
          <w:iCs/>
          <w:lang w:val="en-US"/>
        </w:rPr>
        <w:t xml:space="preserve"> </w:t>
      </w:r>
      <w:r w:rsidR="007B18F7" w:rsidRPr="00FE5BE3">
        <w:rPr>
          <w:rFonts w:asciiTheme="majorHAnsi" w:hAnsiTheme="majorHAnsi"/>
          <w:iCs/>
          <w:lang w:val="en-US"/>
        </w:rPr>
        <w:t>in</w:t>
      </w:r>
      <w:r w:rsidR="00D20097" w:rsidRPr="00FE5BE3">
        <w:rPr>
          <w:rFonts w:asciiTheme="majorHAnsi" w:hAnsiTheme="majorHAnsi"/>
          <w:iCs/>
          <w:lang w:val="en-US"/>
        </w:rPr>
        <w:t xml:space="preserve"> emerging economies </w:t>
      </w:r>
      <w:r w:rsidR="006732E9" w:rsidRPr="00FE5BE3">
        <w:rPr>
          <w:rFonts w:asciiTheme="majorHAnsi" w:hAnsiTheme="majorHAnsi"/>
          <w:iCs/>
          <w:lang w:val="en-US"/>
        </w:rPr>
        <w:t>in</w:t>
      </w:r>
      <w:r w:rsidR="00D20097" w:rsidRPr="00FE5BE3">
        <w:rPr>
          <w:rFonts w:asciiTheme="majorHAnsi" w:hAnsiTheme="majorHAnsi"/>
          <w:iCs/>
          <w:lang w:val="en-US"/>
        </w:rPr>
        <w:t xml:space="preserve"> Asia, Africa and South America. </w:t>
      </w:r>
      <w:r w:rsidR="004619C6" w:rsidRPr="00FE5BE3">
        <w:rPr>
          <w:rFonts w:asciiTheme="majorHAnsi" w:hAnsiTheme="majorHAnsi"/>
          <w:iCs/>
          <w:lang w:val="en-US"/>
        </w:rPr>
        <w:t xml:space="preserve"> Here we see a </w:t>
      </w:r>
      <w:r w:rsidR="00F402C3" w:rsidRPr="00FE5BE3">
        <w:rPr>
          <w:rFonts w:asciiTheme="majorHAnsi" w:hAnsiTheme="majorHAnsi"/>
          <w:iCs/>
          <w:lang w:val="en-US"/>
        </w:rPr>
        <w:t>complementarity between Pearson</w:t>
      </w:r>
      <w:r w:rsidR="004619C6" w:rsidRPr="00FE5BE3">
        <w:rPr>
          <w:rFonts w:asciiTheme="majorHAnsi" w:hAnsiTheme="majorHAnsi"/>
          <w:iCs/>
          <w:lang w:val="en-US"/>
        </w:rPr>
        <w:t xml:space="preserve">’s business strategies in the Global North and those in the Global South, with a likely </w:t>
      </w:r>
      <w:r w:rsidR="007B18F7" w:rsidRPr="00FE5BE3">
        <w:rPr>
          <w:rFonts w:asciiTheme="majorHAnsi" w:hAnsiTheme="majorHAnsi"/>
          <w:iCs/>
          <w:lang w:val="en-US"/>
        </w:rPr>
        <w:t xml:space="preserve">further </w:t>
      </w:r>
      <w:r w:rsidR="004619C6" w:rsidRPr="00FE5BE3">
        <w:rPr>
          <w:rFonts w:asciiTheme="majorHAnsi" w:hAnsiTheme="majorHAnsi"/>
          <w:iCs/>
          <w:lang w:val="en-US"/>
        </w:rPr>
        <w:t xml:space="preserve">push by Pearson </w:t>
      </w:r>
      <w:r w:rsidR="007B18F7" w:rsidRPr="00FE5BE3">
        <w:rPr>
          <w:rFonts w:asciiTheme="majorHAnsi" w:hAnsiTheme="majorHAnsi"/>
          <w:iCs/>
          <w:lang w:val="en-US"/>
        </w:rPr>
        <w:t xml:space="preserve">to open </w:t>
      </w:r>
      <w:r w:rsidR="004619C6" w:rsidRPr="00FE5BE3">
        <w:rPr>
          <w:rFonts w:asciiTheme="majorHAnsi" w:hAnsiTheme="majorHAnsi"/>
          <w:iCs/>
          <w:lang w:val="en-US"/>
        </w:rPr>
        <w:t xml:space="preserve">for-profit schools in rich nations and </w:t>
      </w:r>
      <w:r w:rsidR="007B18F7" w:rsidRPr="00FE5BE3">
        <w:rPr>
          <w:rFonts w:asciiTheme="majorHAnsi" w:hAnsiTheme="majorHAnsi"/>
          <w:iCs/>
          <w:lang w:val="en-US"/>
        </w:rPr>
        <w:t>expand</w:t>
      </w:r>
      <w:r w:rsidR="004619C6" w:rsidRPr="00FE5BE3">
        <w:rPr>
          <w:rFonts w:asciiTheme="majorHAnsi" w:hAnsiTheme="majorHAnsi"/>
          <w:iCs/>
          <w:lang w:val="en-US"/>
        </w:rPr>
        <w:t xml:space="preserve"> testing and data management in poorer nations. </w:t>
      </w:r>
    </w:p>
    <w:p w14:paraId="392EB98B" w14:textId="05C9942B" w:rsidR="00E3341E" w:rsidRPr="00FE5BE3" w:rsidRDefault="00B30F14" w:rsidP="00CB4335">
      <w:pPr>
        <w:spacing w:after="120"/>
        <w:rPr>
          <w:rFonts w:asciiTheme="majorHAnsi" w:hAnsiTheme="majorHAnsi"/>
          <w:b/>
          <w:i/>
        </w:rPr>
      </w:pPr>
      <w:r w:rsidRPr="00FE5BE3">
        <w:rPr>
          <w:rFonts w:asciiTheme="majorHAnsi" w:hAnsiTheme="majorHAnsi"/>
          <w:b/>
          <w:i/>
        </w:rPr>
        <w:lastRenderedPageBreak/>
        <w:t>Concerns</w:t>
      </w:r>
      <w:r w:rsidR="00BE3A93" w:rsidRPr="00FE5BE3">
        <w:rPr>
          <w:rFonts w:asciiTheme="majorHAnsi" w:hAnsiTheme="majorHAnsi"/>
          <w:b/>
          <w:i/>
        </w:rPr>
        <w:t xml:space="preserve"> for public </w:t>
      </w:r>
      <w:r w:rsidRPr="00FE5BE3">
        <w:rPr>
          <w:rFonts w:asciiTheme="majorHAnsi" w:hAnsiTheme="majorHAnsi"/>
          <w:b/>
          <w:i/>
        </w:rPr>
        <w:t>education</w:t>
      </w:r>
    </w:p>
    <w:p w14:paraId="64958BAB" w14:textId="1121D223" w:rsidR="009B7EE5" w:rsidRPr="00FE5BE3" w:rsidRDefault="009B7EE5" w:rsidP="007C03F8">
      <w:pPr>
        <w:spacing w:after="120"/>
        <w:rPr>
          <w:rFonts w:asciiTheme="majorHAnsi" w:hAnsiTheme="majorHAnsi"/>
        </w:rPr>
      </w:pPr>
      <w:r w:rsidRPr="00FE5BE3">
        <w:rPr>
          <w:rFonts w:asciiTheme="majorHAnsi" w:hAnsiTheme="majorHAnsi"/>
        </w:rPr>
        <w:t xml:space="preserve">We </w:t>
      </w:r>
      <w:r w:rsidR="00937571">
        <w:rPr>
          <w:rFonts w:asciiTheme="majorHAnsi" w:hAnsiTheme="majorHAnsi"/>
        </w:rPr>
        <w:t>should be</w:t>
      </w:r>
      <w:r w:rsidRPr="00FE5BE3">
        <w:rPr>
          <w:rFonts w:asciiTheme="majorHAnsi" w:hAnsiTheme="majorHAnsi"/>
        </w:rPr>
        <w:t xml:space="preserve"> c</w:t>
      </w:r>
      <w:r w:rsidR="00E40979" w:rsidRPr="00FE5BE3">
        <w:rPr>
          <w:rFonts w:asciiTheme="majorHAnsi" w:hAnsiTheme="majorHAnsi"/>
        </w:rPr>
        <w:t>ritical of these developments</w:t>
      </w:r>
      <w:r w:rsidRPr="00FE5BE3">
        <w:rPr>
          <w:rFonts w:asciiTheme="majorHAnsi" w:hAnsiTheme="majorHAnsi"/>
        </w:rPr>
        <w:t xml:space="preserve"> </w:t>
      </w:r>
      <w:r w:rsidR="007C03F8" w:rsidRPr="00FE5BE3">
        <w:rPr>
          <w:rFonts w:asciiTheme="majorHAnsi" w:hAnsiTheme="majorHAnsi"/>
        </w:rPr>
        <w:t xml:space="preserve">in education </w:t>
      </w:r>
      <w:r w:rsidRPr="00FE5BE3">
        <w:rPr>
          <w:rFonts w:asciiTheme="majorHAnsi" w:hAnsiTheme="majorHAnsi"/>
        </w:rPr>
        <w:t xml:space="preserve">from the grassroots to the global level. </w:t>
      </w:r>
      <w:r w:rsidR="007C03F8" w:rsidRPr="00FE5BE3">
        <w:rPr>
          <w:rFonts w:asciiTheme="majorHAnsi" w:hAnsiTheme="majorHAnsi"/>
        </w:rPr>
        <w:t>For example, the</w:t>
      </w:r>
      <w:r w:rsidR="00E40979" w:rsidRPr="00FE5BE3">
        <w:rPr>
          <w:rFonts w:asciiTheme="majorHAnsi" w:hAnsiTheme="majorHAnsi"/>
        </w:rPr>
        <w:t xml:space="preserve"> Efficacy Framework effectively bowdlerises the complexity of teaching and learning processes. The idea that one product or service can have a </w:t>
      </w:r>
      <w:r w:rsidR="00E40979" w:rsidRPr="00FE5BE3">
        <w:rPr>
          <w:rFonts w:asciiTheme="majorHAnsi" w:hAnsiTheme="majorHAnsi"/>
          <w:i/>
        </w:rPr>
        <w:t>guaranteed</w:t>
      </w:r>
      <w:r w:rsidR="00E40979" w:rsidRPr="00FE5BE3">
        <w:rPr>
          <w:rFonts w:asciiTheme="majorHAnsi" w:hAnsiTheme="majorHAnsi"/>
        </w:rPr>
        <w:t xml:space="preserve"> impact on student outcomes could only be based on ignorance of</w:t>
      </w:r>
      <w:r w:rsidRPr="00FE5BE3">
        <w:rPr>
          <w:rFonts w:asciiTheme="majorHAnsi" w:hAnsiTheme="majorHAnsi"/>
        </w:rPr>
        <w:t xml:space="preserve"> the reality of</w:t>
      </w:r>
      <w:r w:rsidR="00E40979" w:rsidRPr="00FE5BE3">
        <w:rPr>
          <w:rFonts w:asciiTheme="majorHAnsi" w:hAnsiTheme="majorHAnsi"/>
        </w:rPr>
        <w:t xml:space="preserve"> </w:t>
      </w:r>
      <w:r w:rsidRPr="00FE5BE3">
        <w:rPr>
          <w:rFonts w:asciiTheme="majorHAnsi" w:hAnsiTheme="majorHAnsi"/>
        </w:rPr>
        <w:t xml:space="preserve">what happens in </w:t>
      </w:r>
      <w:r w:rsidR="00E40979" w:rsidRPr="00FE5BE3">
        <w:rPr>
          <w:rFonts w:asciiTheme="majorHAnsi" w:hAnsiTheme="majorHAnsi"/>
        </w:rPr>
        <w:t>classroom</w:t>
      </w:r>
      <w:r w:rsidRPr="00FE5BE3">
        <w:rPr>
          <w:rFonts w:asciiTheme="majorHAnsi" w:hAnsiTheme="majorHAnsi"/>
        </w:rPr>
        <w:t xml:space="preserve">s; </w:t>
      </w:r>
      <w:r w:rsidR="00E40979" w:rsidRPr="00FE5BE3">
        <w:rPr>
          <w:rFonts w:asciiTheme="majorHAnsi" w:hAnsiTheme="majorHAnsi"/>
        </w:rPr>
        <w:t xml:space="preserve">the vast contextual differences amongst schools and the diverse individual </w:t>
      </w:r>
      <w:r w:rsidRPr="00FE5BE3">
        <w:rPr>
          <w:rFonts w:asciiTheme="majorHAnsi" w:hAnsiTheme="majorHAnsi"/>
        </w:rPr>
        <w:t xml:space="preserve">learning </w:t>
      </w:r>
      <w:r w:rsidR="00E40979" w:rsidRPr="00FE5BE3">
        <w:rPr>
          <w:rFonts w:asciiTheme="majorHAnsi" w:hAnsiTheme="majorHAnsi"/>
        </w:rPr>
        <w:t>needs of student</w:t>
      </w:r>
      <w:r w:rsidR="00F402C3" w:rsidRPr="00FE5BE3">
        <w:rPr>
          <w:rFonts w:asciiTheme="majorHAnsi" w:hAnsiTheme="majorHAnsi"/>
        </w:rPr>
        <w:t xml:space="preserve">s </w:t>
      </w:r>
      <w:r w:rsidR="007B18F7" w:rsidRPr="00FE5BE3">
        <w:rPr>
          <w:rFonts w:asciiTheme="majorHAnsi" w:hAnsiTheme="majorHAnsi"/>
        </w:rPr>
        <w:t>raise serious</w:t>
      </w:r>
      <w:r w:rsidRPr="00FE5BE3">
        <w:rPr>
          <w:rFonts w:asciiTheme="majorHAnsi" w:hAnsiTheme="majorHAnsi"/>
        </w:rPr>
        <w:t xml:space="preserve"> question</w:t>
      </w:r>
      <w:r w:rsidR="007B18F7" w:rsidRPr="00FE5BE3">
        <w:rPr>
          <w:rFonts w:asciiTheme="majorHAnsi" w:hAnsiTheme="majorHAnsi"/>
        </w:rPr>
        <w:t>s about</w:t>
      </w:r>
      <w:r w:rsidRPr="00FE5BE3">
        <w:rPr>
          <w:rFonts w:asciiTheme="majorHAnsi" w:hAnsiTheme="majorHAnsi"/>
        </w:rPr>
        <w:t xml:space="preserve"> the validity of Pearson’s claims</w:t>
      </w:r>
      <w:r w:rsidR="00E40979" w:rsidRPr="00FE5BE3">
        <w:rPr>
          <w:rFonts w:asciiTheme="majorHAnsi" w:hAnsiTheme="majorHAnsi"/>
        </w:rPr>
        <w:t xml:space="preserve">. </w:t>
      </w:r>
      <w:r w:rsidRPr="00FE5BE3">
        <w:rPr>
          <w:rFonts w:asciiTheme="majorHAnsi" w:hAnsiTheme="majorHAnsi"/>
        </w:rPr>
        <w:t xml:space="preserve">Equally, the expertise of teachers and their wealth of professional knowledge, including pedagogical training, comprehension of content and their ability to differentiate learning is under-valued. Teachers are positioned as simply the implementers of Pearson’s efficacious products that are </w:t>
      </w:r>
      <w:r w:rsidRPr="00FE5BE3">
        <w:rPr>
          <w:rFonts w:asciiTheme="majorHAnsi" w:hAnsiTheme="majorHAnsi"/>
          <w:i/>
        </w:rPr>
        <w:t>guaranteed</w:t>
      </w:r>
      <w:r w:rsidRPr="00FE5BE3">
        <w:rPr>
          <w:rFonts w:asciiTheme="majorHAnsi" w:hAnsiTheme="majorHAnsi"/>
        </w:rPr>
        <w:t xml:space="preserve"> to improve learner outcomes. In fact, Pearson found through </w:t>
      </w:r>
      <w:r w:rsidR="00F927E5" w:rsidRPr="00FE5BE3">
        <w:rPr>
          <w:rFonts w:asciiTheme="majorHAnsi" w:hAnsiTheme="majorHAnsi"/>
        </w:rPr>
        <w:t>its</w:t>
      </w:r>
      <w:r w:rsidRPr="00FE5BE3">
        <w:rPr>
          <w:rFonts w:asciiTheme="majorHAnsi" w:hAnsiTheme="majorHAnsi"/>
        </w:rPr>
        <w:t xml:space="preserve"> efficacy reviews that one of the key issues </w:t>
      </w:r>
      <w:r w:rsidR="00F927E5" w:rsidRPr="00FE5BE3">
        <w:rPr>
          <w:rFonts w:asciiTheme="majorHAnsi" w:hAnsiTheme="majorHAnsi"/>
        </w:rPr>
        <w:t xml:space="preserve">preventing the desired outcomes of their products </w:t>
      </w:r>
      <w:r w:rsidRPr="00FE5BE3">
        <w:rPr>
          <w:rFonts w:asciiTheme="majorHAnsi" w:hAnsiTheme="majorHAnsi"/>
        </w:rPr>
        <w:t>was the teacher’s lack of skill in delivery; hence their new focus on professional learning around these issues.</w:t>
      </w:r>
      <w:r w:rsidR="00F402C3" w:rsidRPr="00FE5BE3">
        <w:rPr>
          <w:rFonts w:asciiTheme="majorHAnsi" w:hAnsiTheme="majorHAnsi"/>
        </w:rPr>
        <w:t xml:space="preserve"> In Australia, for example, Pearson offers professional development for teachers through the Pearson Academy</w:t>
      </w:r>
      <w:r w:rsidR="00937571">
        <w:rPr>
          <w:rFonts w:asciiTheme="majorHAnsi" w:hAnsiTheme="majorHAnsi"/>
        </w:rPr>
        <w:t>, and sends personalised emails to teachers on a daily basis</w:t>
      </w:r>
      <w:r w:rsidR="00F402C3" w:rsidRPr="00FE5BE3">
        <w:rPr>
          <w:rFonts w:asciiTheme="majorHAnsi" w:hAnsiTheme="majorHAnsi"/>
        </w:rPr>
        <w:t>.</w:t>
      </w:r>
    </w:p>
    <w:p w14:paraId="7D468D29" w14:textId="47F51240" w:rsidR="007C03F8" w:rsidRPr="00FE5BE3" w:rsidRDefault="007C03F8" w:rsidP="00C87F72">
      <w:pPr>
        <w:pStyle w:val="CommentText"/>
        <w:spacing w:after="120"/>
        <w:rPr>
          <w:rFonts w:asciiTheme="majorHAnsi" w:hAnsiTheme="majorHAnsi" w:cs="Calibri"/>
          <w:sz w:val="24"/>
          <w:szCs w:val="24"/>
        </w:rPr>
      </w:pPr>
      <w:r w:rsidRPr="00FE5BE3">
        <w:rPr>
          <w:rFonts w:asciiTheme="majorHAnsi" w:hAnsiTheme="majorHAnsi"/>
          <w:sz w:val="24"/>
          <w:szCs w:val="24"/>
        </w:rPr>
        <w:t xml:space="preserve">Pearson is also impacting on </w:t>
      </w:r>
      <w:r w:rsidR="005C65D0" w:rsidRPr="00FE5BE3">
        <w:rPr>
          <w:rFonts w:asciiTheme="majorHAnsi" w:hAnsiTheme="majorHAnsi"/>
          <w:sz w:val="24"/>
          <w:szCs w:val="24"/>
        </w:rPr>
        <w:t xml:space="preserve">global </w:t>
      </w:r>
      <w:r w:rsidRPr="00FE5BE3">
        <w:rPr>
          <w:rFonts w:asciiTheme="majorHAnsi" w:hAnsiTheme="majorHAnsi"/>
          <w:sz w:val="24"/>
          <w:szCs w:val="24"/>
        </w:rPr>
        <w:t xml:space="preserve">education policy. </w:t>
      </w:r>
      <w:r w:rsidR="007B18F7" w:rsidRPr="00FE5BE3">
        <w:rPr>
          <w:rFonts w:asciiTheme="majorHAnsi" w:hAnsiTheme="majorHAnsi"/>
          <w:sz w:val="24"/>
          <w:szCs w:val="24"/>
        </w:rPr>
        <w:t>Pearson has the contract to prepare key elements of the 2018 PISA tests, and w</w:t>
      </w:r>
      <w:r w:rsidRPr="00FE5BE3">
        <w:rPr>
          <w:rFonts w:asciiTheme="majorHAnsi" w:hAnsiTheme="majorHAnsi"/>
          <w:sz w:val="24"/>
          <w:szCs w:val="24"/>
        </w:rPr>
        <w:t xml:space="preserve">hile </w:t>
      </w:r>
      <w:r w:rsidR="00937571">
        <w:rPr>
          <w:rFonts w:asciiTheme="majorHAnsi" w:hAnsiTheme="majorHAnsi"/>
          <w:sz w:val="24"/>
          <w:szCs w:val="24"/>
        </w:rPr>
        <w:t>I</w:t>
      </w:r>
      <w:r w:rsidRPr="00FE5BE3">
        <w:rPr>
          <w:rFonts w:asciiTheme="majorHAnsi" w:hAnsiTheme="majorHAnsi"/>
          <w:sz w:val="24"/>
          <w:szCs w:val="24"/>
        </w:rPr>
        <w:t xml:space="preserve"> would argue that </w:t>
      </w:r>
      <w:r w:rsidRPr="00FE5BE3">
        <w:rPr>
          <w:rFonts w:asciiTheme="majorHAnsi" w:hAnsiTheme="majorHAnsi"/>
          <w:i/>
          <w:sz w:val="24"/>
          <w:szCs w:val="24"/>
        </w:rPr>
        <w:t xml:space="preserve">TLC </w:t>
      </w:r>
      <w:r w:rsidRPr="00FE5BE3">
        <w:rPr>
          <w:rFonts w:asciiTheme="majorHAnsi" w:hAnsiTheme="majorHAnsi"/>
          <w:sz w:val="24"/>
          <w:szCs w:val="24"/>
        </w:rPr>
        <w:t xml:space="preserve">does not currently function as an influential public policy instrument, it is reflective of the enhanced involvement of </w:t>
      </w:r>
      <w:r w:rsidR="007B18F7" w:rsidRPr="00FE5BE3">
        <w:rPr>
          <w:rFonts w:asciiTheme="majorHAnsi" w:hAnsiTheme="majorHAnsi"/>
          <w:sz w:val="24"/>
          <w:szCs w:val="24"/>
        </w:rPr>
        <w:t>Pearson in the global politics of educational comparison</w:t>
      </w:r>
      <w:r w:rsidRPr="00FE5BE3">
        <w:rPr>
          <w:rFonts w:asciiTheme="majorHAnsi" w:hAnsiTheme="majorHAnsi"/>
          <w:sz w:val="24"/>
          <w:szCs w:val="24"/>
        </w:rPr>
        <w:t>. While Pearson’s relationships with governments</w:t>
      </w:r>
      <w:r w:rsidR="007B18F7" w:rsidRPr="00FE5BE3">
        <w:rPr>
          <w:rFonts w:asciiTheme="majorHAnsi" w:hAnsiTheme="majorHAnsi"/>
          <w:sz w:val="24"/>
          <w:szCs w:val="24"/>
        </w:rPr>
        <w:t xml:space="preserve"> and other organisations</w:t>
      </w:r>
      <w:r w:rsidRPr="00FE5BE3">
        <w:rPr>
          <w:rFonts w:asciiTheme="majorHAnsi" w:hAnsiTheme="majorHAnsi"/>
          <w:sz w:val="24"/>
          <w:szCs w:val="24"/>
        </w:rPr>
        <w:t xml:space="preserve"> is often contractual, their services for governments involve conceptual, technical and design work, as well as data generation, and this moves its contributions into the realm of policy making. </w:t>
      </w:r>
      <w:r w:rsidR="00FE5BE3" w:rsidRPr="00FE5BE3">
        <w:rPr>
          <w:rFonts w:asciiTheme="majorHAnsi" w:hAnsiTheme="majorHAnsi" w:cs="Calibri"/>
          <w:sz w:val="24"/>
          <w:szCs w:val="24"/>
        </w:rPr>
        <w:t xml:space="preserve">This is particularly evident in Pearson’s focus on low-fee for-profit schools, and is enough to discount their claims of being a socially responsible edu-business. </w:t>
      </w:r>
      <w:r w:rsidR="00937571">
        <w:rPr>
          <w:rFonts w:asciiTheme="majorHAnsi" w:hAnsiTheme="majorHAnsi" w:cs="Calibri"/>
          <w:sz w:val="24"/>
          <w:szCs w:val="24"/>
        </w:rPr>
        <w:t>I am</w:t>
      </w:r>
      <w:r w:rsidR="00FE5BE3" w:rsidRPr="00FE5BE3">
        <w:rPr>
          <w:rFonts w:asciiTheme="majorHAnsi" w:hAnsiTheme="majorHAnsi" w:cs="Calibri"/>
          <w:sz w:val="24"/>
          <w:szCs w:val="24"/>
        </w:rPr>
        <w:t xml:space="preserve"> critical here as well of aid agencies such as the UK’s Department for International Development (</w:t>
      </w:r>
      <w:proofErr w:type="spellStart"/>
      <w:r w:rsidR="00FE5BE3" w:rsidRPr="00FE5BE3">
        <w:rPr>
          <w:rFonts w:asciiTheme="majorHAnsi" w:hAnsiTheme="majorHAnsi" w:cs="Calibri"/>
          <w:sz w:val="24"/>
          <w:szCs w:val="24"/>
        </w:rPr>
        <w:t>DfID</w:t>
      </w:r>
      <w:proofErr w:type="spellEnd"/>
      <w:r w:rsidR="00FE5BE3" w:rsidRPr="00FE5BE3">
        <w:rPr>
          <w:rFonts w:asciiTheme="majorHAnsi" w:hAnsiTheme="majorHAnsi" w:cs="Calibri"/>
          <w:sz w:val="24"/>
          <w:szCs w:val="24"/>
        </w:rPr>
        <w:t xml:space="preserve">), which provides aid money for the creation of for-profit schools in some parts of sub-Saharan Africa. </w:t>
      </w:r>
      <w:r w:rsidR="00937571">
        <w:rPr>
          <w:rFonts w:asciiTheme="majorHAnsi" w:hAnsiTheme="majorHAnsi" w:cs="Calibri"/>
          <w:sz w:val="24"/>
          <w:szCs w:val="24"/>
        </w:rPr>
        <w:t>I</w:t>
      </w:r>
      <w:r w:rsidR="00FE5BE3" w:rsidRPr="00FE5BE3">
        <w:rPr>
          <w:rFonts w:asciiTheme="majorHAnsi" w:hAnsiTheme="majorHAnsi" w:cs="Calibri"/>
          <w:sz w:val="24"/>
          <w:szCs w:val="24"/>
        </w:rPr>
        <w:t xml:space="preserve"> stress, as well, that it is the restructured state and the values underpinning public policy that enable these developments. </w:t>
      </w:r>
      <w:r w:rsidRPr="00FE5BE3">
        <w:rPr>
          <w:rFonts w:asciiTheme="majorHAnsi" w:hAnsiTheme="majorHAnsi"/>
          <w:sz w:val="24"/>
          <w:szCs w:val="24"/>
        </w:rPr>
        <w:t xml:space="preserve">Given this enhanced role we </w:t>
      </w:r>
      <w:r w:rsidR="00EE604B">
        <w:rPr>
          <w:rFonts w:asciiTheme="majorHAnsi" w:hAnsiTheme="majorHAnsi"/>
          <w:sz w:val="24"/>
          <w:szCs w:val="24"/>
        </w:rPr>
        <w:t>should</w:t>
      </w:r>
      <w:r w:rsidRPr="00FE5BE3">
        <w:rPr>
          <w:rFonts w:asciiTheme="majorHAnsi" w:hAnsiTheme="majorHAnsi"/>
          <w:sz w:val="24"/>
          <w:szCs w:val="24"/>
        </w:rPr>
        <w:t xml:space="preserve"> also </w:t>
      </w:r>
      <w:r w:rsidR="00EE604B">
        <w:rPr>
          <w:rFonts w:asciiTheme="majorHAnsi" w:hAnsiTheme="majorHAnsi"/>
          <w:sz w:val="24"/>
          <w:szCs w:val="24"/>
        </w:rPr>
        <w:t xml:space="preserve">be </w:t>
      </w:r>
      <w:r w:rsidRPr="00FE5BE3">
        <w:rPr>
          <w:rFonts w:asciiTheme="majorHAnsi" w:hAnsiTheme="majorHAnsi"/>
          <w:sz w:val="24"/>
          <w:szCs w:val="24"/>
        </w:rPr>
        <w:t>concerned about the potential democratic deficit in these developments</w:t>
      </w:r>
      <w:r w:rsidR="007B18F7" w:rsidRPr="00FE5BE3">
        <w:rPr>
          <w:rFonts w:asciiTheme="majorHAnsi" w:hAnsiTheme="majorHAnsi"/>
          <w:sz w:val="24"/>
          <w:szCs w:val="24"/>
        </w:rPr>
        <w:t>.</w:t>
      </w:r>
      <w:r w:rsidRPr="00FE5BE3">
        <w:rPr>
          <w:rFonts w:asciiTheme="majorHAnsi" w:hAnsiTheme="majorHAnsi"/>
          <w:sz w:val="24"/>
          <w:szCs w:val="24"/>
        </w:rPr>
        <w:t xml:space="preserve"> </w:t>
      </w:r>
      <w:r w:rsidR="007B18F7" w:rsidRPr="00FE5BE3">
        <w:rPr>
          <w:rFonts w:asciiTheme="majorHAnsi" w:hAnsiTheme="majorHAnsi" w:cs="Calibri"/>
          <w:sz w:val="24"/>
          <w:szCs w:val="24"/>
        </w:rPr>
        <w:t>Given that Pearson does not have a democratic constituency, its growing involvement in public education</w:t>
      </w:r>
      <w:r w:rsidR="007B18F7" w:rsidRPr="00FE5BE3">
        <w:rPr>
          <w:rFonts w:asciiTheme="majorHAnsi" w:hAnsiTheme="majorHAnsi"/>
          <w:sz w:val="24"/>
          <w:szCs w:val="24"/>
        </w:rPr>
        <w:t xml:space="preserve"> corresponds with</w:t>
      </w:r>
      <w:r w:rsidR="00C87F72" w:rsidRPr="00FE5BE3">
        <w:rPr>
          <w:rFonts w:asciiTheme="majorHAnsi" w:hAnsiTheme="majorHAnsi"/>
          <w:sz w:val="24"/>
          <w:szCs w:val="24"/>
        </w:rPr>
        <w:t xml:space="preserve"> </w:t>
      </w:r>
      <w:r w:rsidR="00C87F72" w:rsidRPr="00FE5BE3">
        <w:rPr>
          <w:rFonts w:asciiTheme="majorHAnsi" w:hAnsiTheme="majorHAnsi" w:cs="Calibri"/>
          <w:sz w:val="24"/>
          <w:szCs w:val="24"/>
        </w:rPr>
        <w:t>diminished capacities of national political constituencies to influence policy production and thus the surreptitious weakening of democracy in relation to processes of education policy making</w:t>
      </w:r>
      <w:r w:rsidR="005C65D0" w:rsidRPr="00FE5BE3">
        <w:rPr>
          <w:rFonts w:asciiTheme="majorHAnsi" w:hAnsiTheme="majorHAnsi" w:cs="Calibri"/>
          <w:sz w:val="24"/>
          <w:szCs w:val="24"/>
        </w:rPr>
        <w:t xml:space="preserve">. </w:t>
      </w:r>
      <w:bookmarkStart w:id="0" w:name="_GoBack"/>
      <w:bookmarkEnd w:id="0"/>
    </w:p>
    <w:p w14:paraId="18D7D6E3" w14:textId="77777777" w:rsidR="001102A2" w:rsidRPr="00FE5BE3" w:rsidRDefault="001102A2" w:rsidP="00C87F72">
      <w:pPr>
        <w:pStyle w:val="CommentText"/>
        <w:spacing w:after="120"/>
        <w:rPr>
          <w:rFonts w:asciiTheme="majorHAnsi" w:hAnsiTheme="majorHAnsi" w:cs="Calibri"/>
          <w:b/>
          <w:i/>
          <w:sz w:val="24"/>
          <w:szCs w:val="24"/>
        </w:rPr>
      </w:pPr>
    </w:p>
    <w:p w14:paraId="11CCA5CD" w14:textId="1526F5A9" w:rsidR="00F402C3" w:rsidRPr="00FE5BE3" w:rsidRDefault="00F402C3" w:rsidP="00C87F72">
      <w:pPr>
        <w:pStyle w:val="CommentText"/>
        <w:spacing w:after="120"/>
        <w:rPr>
          <w:rFonts w:asciiTheme="majorHAnsi" w:hAnsiTheme="majorHAnsi" w:cs="Calibri"/>
          <w:b/>
          <w:i/>
          <w:sz w:val="24"/>
          <w:szCs w:val="24"/>
        </w:rPr>
      </w:pPr>
      <w:r w:rsidRPr="00FE5BE3">
        <w:rPr>
          <w:rFonts w:asciiTheme="majorHAnsi" w:hAnsiTheme="majorHAnsi" w:cs="Calibri"/>
          <w:b/>
          <w:i/>
          <w:sz w:val="24"/>
          <w:szCs w:val="24"/>
        </w:rPr>
        <w:t>References</w:t>
      </w:r>
    </w:p>
    <w:p w14:paraId="12AB1642" w14:textId="4E694254" w:rsidR="00F402C3" w:rsidRPr="00FE5BE3" w:rsidRDefault="00F402C3" w:rsidP="00C87F72">
      <w:pPr>
        <w:pStyle w:val="CommentText"/>
        <w:spacing w:after="120"/>
        <w:rPr>
          <w:rFonts w:asciiTheme="majorHAnsi" w:hAnsiTheme="majorHAnsi" w:cs="Calibri"/>
          <w:sz w:val="24"/>
          <w:szCs w:val="24"/>
        </w:rPr>
      </w:pPr>
      <w:r w:rsidRPr="00FE5BE3">
        <w:rPr>
          <w:rFonts w:asciiTheme="majorHAnsi" w:hAnsiTheme="majorHAnsi" w:cs="Calibri"/>
          <w:sz w:val="24"/>
          <w:szCs w:val="24"/>
        </w:rPr>
        <w:t>Ball, S.J. (201</w:t>
      </w:r>
      <w:r w:rsidR="0012311A" w:rsidRPr="00FE5BE3">
        <w:rPr>
          <w:rFonts w:asciiTheme="majorHAnsi" w:hAnsiTheme="majorHAnsi" w:cs="Calibri"/>
          <w:sz w:val="24"/>
          <w:szCs w:val="24"/>
        </w:rPr>
        <w:t>2</w:t>
      </w:r>
      <w:r w:rsidRPr="00FE5BE3">
        <w:rPr>
          <w:rFonts w:asciiTheme="majorHAnsi" w:hAnsiTheme="majorHAnsi" w:cs="Calibri"/>
          <w:sz w:val="24"/>
          <w:szCs w:val="24"/>
        </w:rPr>
        <w:t xml:space="preserve">) </w:t>
      </w:r>
      <w:r w:rsidRPr="00FE5BE3">
        <w:rPr>
          <w:rFonts w:asciiTheme="majorHAnsi" w:hAnsiTheme="majorHAnsi" w:cs="Calibri"/>
          <w:i/>
          <w:sz w:val="24"/>
          <w:szCs w:val="24"/>
        </w:rPr>
        <w:t>Global Education Inc</w:t>
      </w:r>
      <w:r w:rsidRPr="00FE5BE3">
        <w:rPr>
          <w:rFonts w:asciiTheme="majorHAnsi" w:hAnsiTheme="majorHAnsi" w:cs="Calibri"/>
          <w:sz w:val="24"/>
          <w:szCs w:val="24"/>
        </w:rPr>
        <w:t xml:space="preserve">. London: </w:t>
      </w:r>
      <w:proofErr w:type="spellStart"/>
      <w:r w:rsidRPr="00FE5BE3">
        <w:rPr>
          <w:rFonts w:asciiTheme="majorHAnsi" w:hAnsiTheme="majorHAnsi" w:cs="Calibri"/>
          <w:sz w:val="24"/>
          <w:szCs w:val="24"/>
        </w:rPr>
        <w:t>Routledge</w:t>
      </w:r>
      <w:proofErr w:type="spellEnd"/>
      <w:r w:rsidRPr="00FE5BE3">
        <w:rPr>
          <w:rFonts w:asciiTheme="majorHAnsi" w:hAnsiTheme="majorHAnsi" w:cs="Calibri"/>
          <w:sz w:val="24"/>
          <w:szCs w:val="24"/>
        </w:rPr>
        <w:t>.</w:t>
      </w:r>
    </w:p>
    <w:p w14:paraId="3BB3C1E3" w14:textId="50F6A09F" w:rsidR="00F402C3" w:rsidRDefault="00F402C3" w:rsidP="00C87F72">
      <w:pPr>
        <w:pStyle w:val="CommentText"/>
        <w:spacing w:after="120"/>
        <w:rPr>
          <w:rFonts w:asciiTheme="majorHAnsi" w:hAnsiTheme="majorHAnsi" w:cs="Calibri"/>
          <w:sz w:val="24"/>
          <w:szCs w:val="24"/>
        </w:rPr>
      </w:pPr>
      <w:r w:rsidRPr="00FE5BE3">
        <w:rPr>
          <w:rFonts w:asciiTheme="majorHAnsi" w:hAnsiTheme="majorHAnsi" w:cs="Calibri"/>
          <w:sz w:val="24"/>
          <w:szCs w:val="24"/>
        </w:rPr>
        <w:t>Bishop</w:t>
      </w:r>
      <w:r w:rsidR="00EC7B88" w:rsidRPr="00FE5BE3">
        <w:rPr>
          <w:rFonts w:asciiTheme="majorHAnsi" w:hAnsiTheme="majorHAnsi" w:cs="Calibri"/>
          <w:sz w:val="24"/>
          <w:szCs w:val="24"/>
        </w:rPr>
        <w:t xml:space="preserve">, M. </w:t>
      </w:r>
      <w:r w:rsidRPr="00FE5BE3">
        <w:rPr>
          <w:rFonts w:asciiTheme="majorHAnsi" w:hAnsiTheme="majorHAnsi" w:cs="Calibri"/>
          <w:sz w:val="24"/>
          <w:szCs w:val="24"/>
        </w:rPr>
        <w:t xml:space="preserve"> </w:t>
      </w:r>
      <w:proofErr w:type="gramStart"/>
      <w:r w:rsidRPr="00FE5BE3">
        <w:rPr>
          <w:rFonts w:asciiTheme="majorHAnsi" w:hAnsiTheme="majorHAnsi" w:cs="Calibri"/>
          <w:sz w:val="24"/>
          <w:szCs w:val="24"/>
        </w:rPr>
        <w:t>and</w:t>
      </w:r>
      <w:proofErr w:type="gramEnd"/>
      <w:r w:rsidRPr="00FE5BE3">
        <w:rPr>
          <w:rFonts w:asciiTheme="majorHAnsi" w:hAnsiTheme="majorHAnsi" w:cs="Calibri"/>
          <w:sz w:val="24"/>
          <w:szCs w:val="24"/>
        </w:rPr>
        <w:t xml:space="preserve"> Green</w:t>
      </w:r>
      <w:r w:rsidR="00EC7B88" w:rsidRPr="00FE5BE3">
        <w:rPr>
          <w:rFonts w:asciiTheme="majorHAnsi" w:hAnsiTheme="majorHAnsi" w:cs="Calibri"/>
          <w:sz w:val="24"/>
          <w:szCs w:val="24"/>
        </w:rPr>
        <w:t>, M.</w:t>
      </w:r>
      <w:r w:rsidRPr="00FE5BE3">
        <w:rPr>
          <w:rFonts w:asciiTheme="majorHAnsi" w:hAnsiTheme="majorHAnsi" w:cs="Calibri"/>
          <w:sz w:val="24"/>
          <w:szCs w:val="24"/>
        </w:rPr>
        <w:t xml:space="preserve"> (2008)</w:t>
      </w:r>
      <w:r w:rsidR="00EC7B88" w:rsidRPr="00FE5BE3">
        <w:rPr>
          <w:rFonts w:asciiTheme="majorHAnsi" w:hAnsiTheme="majorHAnsi" w:cs="Calibri"/>
          <w:sz w:val="24"/>
          <w:szCs w:val="24"/>
        </w:rPr>
        <w:t xml:space="preserve"> </w:t>
      </w:r>
      <w:r w:rsidR="00EC7B88" w:rsidRPr="00FE5BE3">
        <w:rPr>
          <w:rFonts w:asciiTheme="majorHAnsi" w:hAnsiTheme="majorHAnsi" w:cs="Calibri"/>
          <w:i/>
          <w:sz w:val="24"/>
          <w:szCs w:val="24"/>
        </w:rPr>
        <w:t>Philanthrocapitalism: How Giving can save the World</w:t>
      </w:r>
      <w:r w:rsidR="00EC7B88" w:rsidRPr="00FE5BE3">
        <w:rPr>
          <w:rFonts w:asciiTheme="majorHAnsi" w:hAnsiTheme="majorHAnsi" w:cs="Calibri"/>
          <w:sz w:val="24"/>
          <w:szCs w:val="24"/>
        </w:rPr>
        <w:t>. London: Black Publishers Ltd.</w:t>
      </w:r>
    </w:p>
    <w:p w14:paraId="1106F967" w14:textId="30EDA63C" w:rsidR="00A15A79" w:rsidRPr="00A15A79" w:rsidRDefault="00A15A79" w:rsidP="00A15A79">
      <w:pPr>
        <w:tabs>
          <w:tab w:val="left" w:pos="1276"/>
          <w:tab w:val="right" w:leader="underscore" w:pos="4820"/>
          <w:tab w:val="left" w:pos="5103"/>
          <w:tab w:val="left" w:pos="5954"/>
        </w:tabs>
        <w:spacing w:after="120"/>
        <w:ind w:right="91"/>
        <w:rPr>
          <w:rFonts w:asciiTheme="majorHAnsi" w:hAnsiTheme="majorHAnsi" w:cs="Arial"/>
          <w:lang w:val="en-US"/>
        </w:rPr>
      </w:pPr>
      <w:proofErr w:type="gramStart"/>
      <w:r w:rsidRPr="00A15A79">
        <w:rPr>
          <w:rFonts w:asciiTheme="majorHAnsi" w:hAnsiTheme="majorHAnsi" w:cs="Arial"/>
        </w:rPr>
        <w:t>Hogan, A.,</w:t>
      </w:r>
      <w:r w:rsidR="00105B95">
        <w:rPr>
          <w:rFonts w:asciiTheme="majorHAnsi" w:hAnsiTheme="majorHAnsi" w:cs="Arial"/>
        </w:rPr>
        <w:t xml:space="preserve"> Sellar, S., and</w:t>
      </w:r>
      <w:r w:rsidRPr="00A15A79">
        <w:rPr>
          <w:rFonts w:asciiTheme="majorHAnsi" w:hAnsiTheme="majorHAnsi" w:cs="Arial"/>
        </w:rPr>
        <w:t xml:space="preserve"> Lingard, B. (2015).</w:t>
      </w:r>
      <w:proofErr w:type="gramEnd"/>
      <w:r w:rsidRPr="00A15A79">
        <w:rPr>
          <w:rFonts w:asciiTheme="majorHAnsi" w:hAnsiTheme="majorHAnsi" w:cs="Arial"/>
        </w:rPr>
        <w:t xml:space="preserve"> Commercialising comparison: Pearson puts the TLC in soft capitalism. </w:t>
      </w:r>
      <w:proofErr w:type="gramStart"/>
      <w:r w:rsidRPr="00A15A79">
        <w:rPr>
          <w:rFonts w:asciiTheme="majorHAnsi" w:hAnsiTheme="majorHAnsi" w:cs="Arial"/>
          <w:i/>
        </w:rPr>
        <w:t>Journal of Education Policy.</w:t>
      </w:r>
      <w:proofErr w:type="gramEnd"/>
      <w:r w:rsidRPr="00A15A79">
        <w:rPr>
          <w:rFonts w:asciiTheme="majorHAnsi" w:hAnsiTheme="majorHAnsi" w:cs="Arial"/>
          <w:i/>
        </w:rPr>
        <w:t xml:space="preserve"> </w:t>
      </w:r>
      <w:r w:rsidRPr="00A15A79">
        <w:rPr>
          <w:rFonts w:asciiTheme="majorHAnsi" w:hAnsiTheme="majorHAnsi" w:cs="Arial"/>
        </w:rPr>
        <w:t xml:space="preserve">Online First. Doi: </w:t>
      </w:r>
      <w:r w:rsidRPr="00A15A79">
        <w:rPr>
          <w:rFonts w:asciiTheme="majorHAnsi" w:hAnsiTheme="majorHAnsi" w:cs="Arial"/>
          <w:lang w:val="en-US"/>
        </w:rPr>
        <w:t>10.1080/02680939.2015.1112922.</w:t>
      </w:r>
    </w:p>
    <w:p w14:paraId="1D7E4AC4" w14:textId="65FEA896" w:rsidR="00A15A79" w:rsidRPr="00A15A79" w:rsidRDefault="00A15A79" w:rsidP="00A15A79">
      <w:pPr>
        <w:tabs>
          <w:tab w:val="left" w:pos="1276"/>
          <w:tab w:val="right" w:leader="underscore" w:pos="4820"/>
          <w:tab w:val="left" w:pos="5103"/>
          <w:tab w:val="left" w:pos="5954"/>
        </w:tabs>
        <w:spacing w:after="120"/>
        <w:ind w:right="91"/>
        <w:rPr>
          <w:rFonts w:asciiTheme="majorHAnsi" w:hAnsiTheme="majorHAnsi" w:cs="Arial"/>
          <w:b/>
        </w:rPr>
      </w:pPr>
      <w:proofErr w:type="gramStart"/>
      <w:r w:rsidRPr="00A15A79">
        <w:rPr>
          <w:rFonts w:asciiTheme="majorHAnsi" w:hAnsiTheme="majorHAnsi" w:cs="Arial"/>
        </w:rPr>
        <w:t xml:space="preserve">Hogan, A., Sellar, S. </w:t>
      </w:r>
      <w:r w:rsidR="00105B95">
        <w:rPr>
          <w:rFonts w:asciiTheme="majorHAnsi" w:hAnsiTheme="majorHAnsi" w:cs="Arial"/>
        </w:rPr>
        <w:t>and</w:t>
      </w:r>
      <w:r w:rsidRPr="00A15A79">
        <w:rPr>
          <w:rFonts w:asciiTheme="majorHAnsi" w:hAnsiTheme="majorHAnsi" w:cs="Arial"/>
        </w:rPr>
        <w:t xml:space="preserve"> Lingard, B. (2015).</w:t>
      </w:r>
      <w:proofErr w:type="gramEnd"/>
      <w:r w:rsidRPr="00A15A79">
        <w:rPr>
          <w:rFonts w:asciiTheme="majorHAnsi" w:hAnsiTheme="majorHAnsi" w:cs="Arial"/>
        </w:rPr>
        <w:t xml:space="preserve"> Network restructuring of global edu-business: The case of Pearson’s </w:t>
      </w:r>
      <w:r w:rsidRPr="00A15A79">
        <w:rPr>
          <w:rFonts w:asciiTheme="majorHAnsi" w:hAnsiTheme="majorHAnsi" w:cs="Arial"/>
          <w:i/>
          <w:iCs/>
        </w:rPr>
        <w:t xml:space="preserve">Efficacy Framework. </w:t>
      </w:r>
      <w:proofErr w:type="gramStart"/>
      <w:r w:rsidRPr="00A15A79">
        <w:rPr>
          <w:rFonts w:asciiTheme="majorHAnsi" w:hAnsiTheme="majorHAnsi" w:cs="Arial"/>
        </w:rPr>
        <w:t xml:space="preserve">In W. Au and J. </w:t>
      </w:r>
      <w:proofErr w:type="spellStart"/>
      <w:r w:rsidRPr="00A15A79">
        <w:rPr>
          <w:rFonts w:asciiTheme="majorHAnsi" w:hAnsiTheme="majorHAnsi" w:cs="Arial"/>
        </w:rPr>
        <w:t>Ferrare</w:t>
      </w:r>
      <w:proofErr w:type="spellEnd"/>
      <w:r w:rsidRPr="00A15A79">
        <w:rPr>
          <w:rFonts w:asciiTheme="majorHAnsi" w:hAnsiTheme="majorHAnsi" w:cs="Arial"/>
        </w:rPr>
        <w:t>.</w:t>
      </w:r>
      <w:proofErr w:type="gramEnd"/>
      <w:r w:rsidRPr="00A15A79">
        <w:rPr>
          <w:rFonts w:asciiTheme="majorHAnsi" w:hAnsiTheme="majorHAnsi" w:cs="Arial"/>
        </w:rPr>
        <w:t xml:space="preserve"> (Eds.). </w:t>
      </w:r>
      <w:r w:rsidRPr="00A15A79">
        <w:rPr>
          <w:rFonts w:asciiTheme="majorHAnsi" w:hAnsiTheme="majorHAnsi" w:cs="Arial"/>
          <w:i/>
          <w:iCs/>
        </w:rPr>
        <w:t>Mapping Corporate Education Reform: Power and Policy Networks in the Neoliberal State</w:t>
      </w:r>
      <w:r w:rsidRPr="00A15A79">
        <w:rPr>
          <w:rFonts w:asciiTheme="majorHAnsi" w:hAnsiTheme="majorHAnsi" w:cs="Arial"/>
        </w:rPr>
        <w:t xml:space="preserve">. New York: </w:t>
      </w:r>
      <w:proofErr w:type="spellStart"/>
      <w:r w:rsidRPr="00A15A79">
        <w:rPr>
          <w:rFonts w:asciiTheme="majorHAnsi" w:hAnsiTheme="majorHAnsi" w:cs="Arial"/>
        </w:rPr>
        <w:t>Routledge</w:t>
      </w:r>
      <w:proofErr w:type="spellEnd"/>
      <w:r w:rsidRPr="00A15A79">
        <w:rPr>
          <w:rFonts w:asciiTheme="majorHAnsi" w:hAnsiTheme="majorHAnsi" w:cs="Arial"/>
        </w:rPr>
        <w:t xml:space="preserve">. </w:t>
      </w:r>
    </w:p>
    <w:p w14:paraId="721BE5F7" w14:textId="2749790F" w:rsidR="00A15A79" w:rsidRPr="00A15A79" w:rsidRDefault="00A15A79" w:rsidP="00A15A79">
      <w:pPr>
        <w:tabs>
          <w:tab w:val="left" w:pos="1276"/>
          <w:tab w:val="right" w:leader="underscore" w:pos="4820"/>
          <w:tab w:val="left" w:pos="5103"/>
          <w:tab w:val="left" w:pos="5954"/>
        </w:tabs>
        <w:spacing w:after="120"/>
        <w:ind w:right="91"/>
        <w:rPr>
          <w:rFonts w:asciiTheme="majorHAnsi" w:hAnsiTheme="majorHAnsi" w:cs="Arial"/>
        </w:rPr>
      </w:pPr>
      <w:proofErr w:type="gramStart"/>
      <w:r w:rsidRPr="00A15A79">
        <w:rPr>
          <w:rFonts w:asciiTheme="majorHAnsi" w:hAnsiTheme="majorHAnsi" w:cs="Arial"/>
        </w:rPr>
        <w:lastRenderedPageBreak/>
        <w:t xml:space="preserve">Hogan, A., Sellar, S. </w:t>
      </w:r>
      <w:r w:rsidR="00105B95">
        <w:rPr>
          <w:rFonts w:asciiTheme="majorHAnsi" w:hAnsiTheme="majorHAnsi" w:cs="Arial"/>
        </w:rPr>
        <w:t>and</w:t>
      </w:r>
      <w:r w:rsidRPr="00A15A79">
        <w:rPr>
          <w:rFonts w:asciiTheme="majorHAnsi" w:hAnsiTheme="majorHAnsi" w:cs="Arial"/>
        </w:rPr>
        <w:t xml:space="preserve"> Lingard, B. (2016).</w:t>
      </w:r>
      <w:proofErr w:type="gramEnd"/>
      <w:r w:rsidRPr="00A15A79">
        <w:rPr>
          <w:rFonts w:asciiTheme="majorHAnsi" w:hAnsiTheme="majorHAnsi" w:cs="Arial"/>
        </w:rPr>
        <w:t xml:space="preserve"> Corporate social responsibility and neo-social accountability in education: The case of </w:t>
      </w:r>
      <w:r w:rsidRPr="00A15A79">
        <w:rPr>
          <w:rFonts w:asciiTheme="majorHAnsi" w:hAnsiTheme="majorHAnsi" w:cs="Arial"/>
          <w:i/>
        </w:rPr>
        <w:t>Pearson plc</w:t>
      </w:r>
      <w:r w:rsidRPr="00A15A79">
        <w:rPr>
          <w:rFonts w:asciiTheme="majorHAnsi" w:hAnsiTheme="majorHAnsi" w:cs="Arial"/>
        </w:rPr>
        <w:t xml:space="preserve">. In T. Verger, C. </w:t>
      </w:r>
      <w:proofErr w:type="spellStart"/>
      <w:r w:rsidRPr="00A15A79">
        <w:rPr>
          <w:rFonts w:asciiTheme="majorHAnsi" w:hAnsiTheme="majorHAnsi" w:cs="Arial"/>
        </w:rPr>
        <w:t>Lubienski</w:t>
      </w:r>
      <w:proofErr w:type="spellEnd"/>
      <w:r w:rsidRPr="00A15A79">
        <w:rPr>
          <w:rFonts w:asciiTheme="majorHAnsi" w:hAnsiTheme="majorHAnsi" w:cs="Arial"/>
        </w:rPr>
        <w:t xml:space="preserve"> and G. Steiner-</w:t>
      </w:r>
      <w:proofErr w:type="spellStart"/>
      <w:r w:rsidRPr="00A15A79">
        <w:rPr>
          <w:rFonts w:asciiTheme="majorHAnsi" w:hAnsiTheme="majorHAnsi" w:cs="Arial"/>
        </w:rPr>
        <w:t>Khamsi</w:t>
      </w:r>
      <w:proofErr w:type="spellEnd"/>
      <w:r w:rsidRPr="00A15A79">
        <w:rPr>
          <w:rFonts w:asciiTheme="majorHAnsi" w:hAnsiTheme="majorHAnsi" w:cs="Arial"/>
        </w:rPr>
        <w:t xml:space="preserve">. (Eds.). </w:t>
      </w:r>
      <w:r w:rsidRPr="00A15A79">
        <w:rPr>
          <w:rFonts w:asciiTheme="majorHAnsi" w:hAnsiTheme="majorHAnsi" w:cs="Arial"/>
          <w:i/>
        </w:rPr>
        <w:t>World Yearbook of Education 2016: The global Education Industry</w:t>
      </w:r>
      <w:r w:rsidRPr="00A15A79">
        <w:rPr>
          <w:rFonts w:asciiTheme="majorHAnsi" w:hAnsiTheme="majorHAnsi" w:cs="Arial"/>
        </w:rPr>
        <w:t xml:space="preserve">. New York: </w:t>
      </w:r>
      <w:proofErr w:type="spellStart"/>
      <w:r w:rsidRPr="00A15A79">
        <w:rPr>
          <w:rFonts w:asciiTheme="majorHAnsi" w:hAnsiTheme="majorHAnsi" w:cs="Arial"/>
        </w:rPr>
        <w:t>Routledge</w:t>
      </w:r>
      <w:proofErr w:type="spellEnd"/>
      <w:r w:rsidRPr="00A15A79">
        <w:rPr>
          <w:rFonts w:asciiTheme="majorHAnsi" w:hAnsiTheme="majorHAnsi" w:cs="Arial"/>
        </w:rPr>
        <w:t xml:space="preserve">. </w:t>
      </w:r>
    </w:p>
    <w:p w14:paraId="5B4F523B" w14:textId="18651334" w:rsidR="00EC7B88" w:rsidRPr="00FE5BE3" w:rsidRDefault="0012311A" w:rsidP="00105B95">
      <w:pPr>
        <w:spacing w:after="120"/>
        <w:rPr>
          <w:rFonts w:asciiTheme="majorHAnsi" w:hAnsiTheme="majorHAnsi" w:cs="Verdana"/>
          <w:i/>
        </w:rPr>
      </w:pPr>
      <w:proofErr w:type="spellStart"/>
      <w:r w:rsidRPr="00FE5BE3">
        <w:rPr>
          <w:rFonts w:asciiTheme="majorHAnsi" w:hAnsiTheme="majorHAnsi" w:cs="Calibri"/>
        </w:rPr>
        <w:t>Hozler</w:t>
      </w:r>
      <w:proofErr w:type="spellEnd"/>
      <w:r w:rsidRPr="00FE5BE3">
        <w:rPr>
          <w:rFonts w:asciiTheme="majorHAnsi" w:hAnsiTheme="majorHAnsi" w:cs="Calibri"/>
        </w:rPr>
        <w:t xml:space="preserve">, B. </w:t>
      </w:r>
      <w:r w:rsidR="00EC7B88" w:rsidRPr="00FE5BE3">
        <w:rPr>
          <w:rFonts w:asciiTheme="majorHAnsi" w:hAnsiTheme="majorHAnsi" w:cs="Calibri"/>
        </w:rPr>
        <w:t>(</w:t>
      </w:r>
      <w:r w:rsidRPr="00FE5BE3">
        <w:rPr>
          <w:rFonts w:asciiTheme="majorHAnsi" w:hAnsiTheme="majorHAnsi" w:cs="Calibri"/>
        </w:rPr>
        <w:t>2010</w:t>
      </w:r>
      <w:r w:rsidR="00EC7B88" w:rsidRPr="00FE5BE3">
        <w:rPr>
          <w:rFonts w:asciiTheme="majorHAnsi" w:hAnsiTheme="majorHAnsi" w:cs="Calibri"/>
        </w:rPr>
        <w:t>)</w:t>
      </w:r>
      <w:r w:rsidRPr="00FE5BE3">
        <w:rPr>
          <w:rFonts w:asciiTheme="majorHAnsi" w:hAnsiTheme="majorHAnsi" w:cs="Calibri"/>
        </w:rPr>
        <w:t xml:space="preserve">. </w:t>
      </w:r>
      <w:r w:rsidRPr="00FE5BE3">
        <w:rPr>
          <w:rFonts w:asciiTheme="majorHAnsi" w:hAnsiTheme="majorHAnsi" w:cs="Verdana"/>
          <w:i/>
        </w:rPr>
        <w:t>Moralizing the corporation: Trans</w:t>
      </w:r>
      <w:r w:rsidR="00A15A79">
        <w:rPr>
          <w:rFonts w:asciiTheme="majorHAnsi" w:hAnsiTheme="majorHAnsi" w:cs="Verdana"/>
          <w:i/>
        </w:rPr>
        <w:t xml:space="preserve">national activism and corporate </w:t>
      </w:r>
      <w:r w:rsidRPr="00FE5BE3">
        <w:rPr>
          <w:rFonts w:asciiTheme="majorHAnsi" w:hAnsiTheme="majorHAnsi" w:cs="Verdana"/>
          <w:i/>
        </w:rPr>
        <w:t>accountability</w:t>
      </w:r>
      <w:r w:rsidRPr="00FE5BE3">
        <w:rPr>
          <w:rFonts w:asciiTheme="majorHAnsi" w:hAnsiTheme="majorHAnsi" w:cs="Verdana"/>
        </w:rPr>
        <w:t>.</w:t>
      </w:r>
      <w:r w:rsidRPr="00FE5BE3">
        <w:rPr>
          <w:rFonts w:asciiTheme="majorHAnsi" w:hAnsiTheme="majorHAnsi" w:cs="Arial"/>
        </w:rPr>
        <w:t xml:space="preserve"> </w:t>
      </w:r>
      <w:r w:rsidRPr="00FE5BE3">
        <w:rPr>
          <w:rFonts w:asciiTheme="majorHAnsi" w:hAnsiTheme="majorHAnsi"/>
        </w:rPr>
        <w:t>Cheltenham: Edward Elgar Publishing.</w:t>
      </w:r>
    </w:p>
    <w:p w14:paraId="0F571AAF" w14:textId="2BDF08A8" w:rsidR="00F402C3" w:rsidRPr="00FE5BE3" w:rsidRDefault="00F402C3" w:rsidP="00105B95">
      <w:pPr>
        <w:pStyle w:val="CommentText"/>
        <w:spacing w:after="120"/>
        <w:rPr>
          <w:rFonts w:asciiTheme="majorHAnsi" w:hAnsiTheme="majorHAnsi" w:cs="Calibri"/>
          <w:sz w:val="24"/>
          <w:szCs w:val="24"/>
        </w:rPr>
      </w:pPr>
      <w:proofErr w:type="spellStart"/>
      <w:r w:rsidRPr="00FE5BE3">
        <w:rPr>
          <w:rFonts w:asciiTheme="majorHAnsi" w:hAnsiTheme="majorHAnsi" w:cs="Calibri"/>
          <w:sz w:val="24"/>
          <w:szCs w:val="24"/>
        </w:rPr>
        <w:t>Hursh</w:t>
      </w:r>
      <w:proofErr w:type="spellEnd"/>
      <w:r w:rsidRPr="00FE5BE3">
        <w:rPr>
          <w:rFonts w:asciiTheme="majorHAnsi" w:hAnsiTheme="majorHAnsi" w:cs="Calibri"/>
          <w:sz w:val="24"/>
          <w:szCs w:val="24"/>
        </w:rPr>
        <w:t xml:space="preserve">, D. (2016) </w:t>
      </w:r>
      <w:r w:rsidR="00EC7B88" w:rsidRPr="00FE5BE3">
        <w:rPr>
          <w:rFonts w:asciiTheme="majorHAnsi" w:hAnsiTheme="majorHAnsi" w:cs="Calibri"/>
          <w:i/>
          <w:sz w:val="24"/>
          <w:szCs w:val="24"/>
        </w:rPr>
        <w:t>The End of Public Schools: The Corporate Reform Agenda to Privatize Education.</w:t>
      </w:r>
      <w:r w:rsidR="00EC7B88" w:rsidRPr="00FE5BE3">
        <w:rPr>
          <w:rFonts w:asciiTheme="majorHAnsi" w:hAnsiTheme="majorHAnsi" w:cs="Calibri"/>
          <w:sz w:val="24"/>
          <w:szCs w:val="24"/>
        </w:rPr>
        <w:t xml:space="preserve"> </w:t>
      </w:r>
      <w:r w:rsidRPr="00FE5BE3">
        <w:rPr>
          <w:rFonts w:asciiTheme="majorHAnsi" w:hAnsiTheme="majorHAnsi" w:cs="Calibri"/>
          <w:sz w:val="24"/>
          <w:szCs w:val="24"/>
        </w:rPr>
        <w:t xml:space="preserve">New York: </w:t>
      </w:r>
      <w:proofErr w:type="spellStart"/>
      <w:r w:rsidRPr="00FE5BE3">
        <w:rPr>
          <w:rFonts w:asciiTheme="majorHAnsi" w:hAnsiTheme="majorHAnsi" w:cs="Calibri"/>
          <w:sz w:val="24"/>
          <w:szCs w:val="24"/>
        </w:rPr>
        <w:t>Routledge</w:t>
      </w:r>
      <w:proofErr w:type="spellEnd"/>
      <w:r w:rsidRPr="00FE5BE3">
        <w:rPr>
          <w:rFonts w:asciiTheme="majorHAnsi" w:hAnsiTheme="majorHAnsi" w:cs="Calibri"/>
          <w:sz w:val="24"/>
          <w:szCs w:val="24"/>
        </w:rPr>
        <w:t>.</w:t>
      </w:r>
    </w:p>
    <w:p w14:paraId="32358BAA" w14:textId="2226AE57" w:rsidR="00F402C3" w:rsidRPr="00FE5BE3" w:rsidRDefault="00F402C3" w:rsidP="00C87F72">
      <w:pPr>
        <w:pStyle w:val="CommentText"/>
        <w:spacing w:after="120"/>
        <w:rPr>
          <w:rFonts w:asciiTheme="majorHAnsi" w:hAnsiTheme="majorHAnsi" w:cs="Calibri"/>
          <w:sz w:val="24"/>
          <w:szCs w:val="24"/>
        </w:rPr>
      </w:pPr>
      <w:r w:rsidRPr="00FE5BE3">
        <w:rPr>
          <w:rFonts w:asciiTheme="majorHAnsi" w:hAnsiTheme="majorHAnsi" w:cs="Calibri"/>
          <w:sz w:val="24"/>
          <w:szCs w:val="24"/>
        </w:rPr>
        <w:t xml:space="preserve">Junemann, C. and Ball, S.J. (2015) </w:t>
      </w:r>
      <w:r w:rsidRPr="00FE5BE3">
        <w:rPr>
          <w:rFonts w:asciiTheme="majorHAnsi" w:hAnsiTheme="majorHAnsi" w:cs="Calibri"/>
          <w:i/>
          <w:sz w:val="24"/>
          <w:szCs w:val="24"/>
        </w:rPr>
        <w:t>PALF: The Mutating Giant</w:t>
      </w:r>
      <w:r w:rsidRPr="00FE5BE3">
        <w:rPr>
          <w:rFonts w:asciiTheme="majorHAnsi" w:hAnsiTheme="majorHAnsi" w:cs="Calibri"/>
          <w:sz w:val="24"/>
          <w:szCs w:val="24"/>
        </w:rPr>
        <w:t>. Brussels: Education International.</w:t>
      </w:r>
    </w:p>
    <w:p w14:paraId="29AC1EB6" w14:textId="77777777" w:rsidR="00A15A79" w:rsidRPr="00FE5BE3" w:rsidRDefault="00A15A79" w:rsidP="00A15A79">
      <w:pPr>
        <w:pStyle w:val="CommentText"/>
        <w:spacing w:after="120"/>
        <w:rPr>
          <w:rFonts w:asciiTheme="majorHAnsi" w:hAnsiTheme="majorHAnsi" w:cs="Calibri"/>
          <w:sz w:val="24"/>
          <w:szCs w:val="24"/>
        </w:rPr>
      </w:pPr>
      <w:r w:rsidRPr="00FE5BE3">
        <w:rPr>
          <w:rFonts w:asciiTheme="majorHAnsi" w:hAnsiTheme="majorHAnsi" w:cs="Calibri"/>
          <w:sz w:val="24"/>
          <w:szCs w:val="24"/>
        </w:rPr>
        <w:t xml:space="preserve">Pearson. (2012) </w:t>
      </w:r>
      <w:r w:rsidRPr="00FE5BE3">
        <w:rPr>
          <w:rFonts w:asciiTheme="majorHAnsi" w:hAnsiTheme="majorHAnsi" w:cs="Calibri"/>
          <w:i/>
          <w:sz w:val="24"/>
          <w:szCs w:val="24"/>
        </w:rPr>
        <w:t>The Learning Curve 2012: Lessons in country performance in education</w:t>
      </w:r>
      <w:r w:rsidRPr="00FE5BE3">
        <w:rPr>
          <w:rFonts w:asciiTheme="majorHAnsi" w:hAnsiTheme="majorHAnsi" w:cs="Calibri"/>
          <w:sz w:val="24"/>
          <w:szCs w:val="24"/>
        </w:rPr>
        <w:t>. London: Pearson.</w:t>
      </w:r>
    </w:p>
    <w:p w14:paraId="719A703C" w14:textId="4A67BACD" w:rsidR="00FE5BE3" w:rsidRPr="00FE5BE3" w:rsidRDefault="00F402C3" w:rsidP="00D53DA3">
      <w:pPr>
        <w:rPr>
          <w:rFonts w:asciiTheme="majorHAnsi" w:hAnsiTheme="majorHAnsi" w:cs="Verdana"/>
        </w:rPr>
      </w:pPr>
      <w:proofErr w:type="spellStart"/>
      <w:r w:rsidRPr="00FE5BE3">
        <w:rPr>
          <w:rFonts w:asciiTheme="majorHAnsi" w:hAnsiTheme="majorHAnsi" w:cs="Calibri"/>
        </w:rPr>
        <w:t>Ravitch</w:t>
      </w:r>
      <w:proofErr w:type="spellEnd"/>
      <w:r w:rsidRPr="00FE5BE3">
        <w:rPr>
          <w:rFonts w:asciiTheme="majorHAnsi" w:hAnsiTheme="majorHAnsi" w:cs="Calibri"/>
        </w:rPr>
        <w:t>, D. (201</w:t>
      </w:r>
      <w:r w:rsidR="00FE5BE3" w:rsidRPr="00FE5BE3">
        <w:rPr>
          <w:rFonts w:asciiTheme="majorHAnsi" w:hAnsiTheme="majorHAnsi" w:cs="Calibri"/>
        </w:rPr>
        <w:t>2</w:t>
      </w:r>
      <w:r w:rsidRPr="00FE5BE3">
        <w:rPr>
          <w:rFonts w:asciiTheme="majorHAnsi" w:hAnsiTheme="majorHAnsi" w:cs="Calibri"/>
        </w:rPr>
        <w:t>)</w:t>
      </w:r>
      <w:r w:rsidR="005B548B" w:rsidRPr="00FE5BE3">
        <w:rPr>
          <w:rFonts w:asciiTheme="majorHAnsi" w:hAnsiTheme="majorHAnsi" w:cs="Calibri"/>
        </w:rPr>
        <w:t xml:space="preserve"> </w:t>
      </w:r>
      <w:r w:rsidR="00FE5BE3" w:rsidRPr="00FE5BE3">
        <w:rPr>
          <w:rFonts w:asciiTheme="majorHAnsi" w:hAnsiTheme="majorHAnsi"/>
        </w:rPr>
        <w:t xml:space="preserve">The United States of Pearson? </w:t>
      </w:r>
      <w:r w:rsidR="00FE5BE3" w:rsidRPr="00FE5BE3">
        <w:rPr>
          <w:rFonts w:asciiTheme="majorHAnsi" w:hAnsiTheme="majorHAnsi" w:cs="Verdana"/>
        </w:rPr>
        <w:t xml:space="preserve">Retrieved from </w:t>
      </w:r>
    </w:p>
    <w:p w14:paraId="7D7238DA" w14:textId="29B34E30" w:rsidR="00F402C3" w:rsidRPr="00D53DA3" w:rsidRDefault="00375F6E" w:rsidP="00D53DA3">
      <w:pPr>
        <w:spacing w:after="120"/>
        <w:rPr>
          <w:rFonts w:asciiTheme="majorHAnsi" w:hAnsiTheme="majorHAnsi"/>
        </w:rPr>
      </w:pPr>
      <w:hyperlink r:id="rId9" w:history="1">
        <w:r w:rsidR="00FE5BE3" w:rsidRPr="00D53DA3">
          <w:rPr>
            <w:rStyle w:val="Hyperlink"/>
            <w:rFonts w:asciiTheme="majorHAnsi" w:hAnsiTheme="majorHAnsi"/>
            <w:color w:val="auto"/>
            <w:u w:val="none"/>
          </w:rPr>
          <w:t>http://dianeravitch.net/2012/05/07/the-united-states-of-pearson-2/</w:t>
        </w:r>
      </w:hyperlink>
      <w:r w:rsidR="00C92553">
        <w:rPr>
          <w:rStyle w:val="Hyperlink"/>
          <w:rFonts w:asciiTheme="majorHAnsi" w:hAnsiTheme="majorHAnsi"/>
          <w:color w:val="auto"/>
          <w:u w:val="none"/>
        </w:rPr>
        <w:t xml:space="preserve"> </w:t>
      </w:r>
    </w:p>
    <w:p w14:paraId="148D7507" w14:textId="7C182E65" w:rsidR="00FE5BE3" w:rsidRPr="00FE5BE3" w:rsidRDefault="00FE5BE3" w:rsidP="00D53DA3">
      <w:pPr>
        <w:pStyle w:val="CommentText"/>
        <w:spacing w:after="120"/>
        <w:rPr>
          <w:rFonts w:asciiTheme="majorHAnsi" w:hAnsiTheme="majorHAnsi" w:cs="Calibri"/>
          <w:sz w:val="24"/>
          <w:szCs w:val="24"/>
        </w:rPr>
      </w:pPr>
      <w:proofErr w:type="spellStart"/>
      <w:r w:rsidRPr="00FE5BE3">
        <w:rPr>
          <w:rFonts w:asciiTheme="majorHAnsi" w:hAnsiTheme="majorHAnsi"/>
          <w:sz w:val="24"/>
          <w:szCs w:val="24"/>
        </w:rPr>
        <w:t>Ravitch</w:t>
      </w:r>
      <w:proofErr w:type="spellEnd"/>
      <w:r w:rsidRPr="00FE5BE3">
        <w:rPr>
          <w:rFonts w:asciiTheme="majorHAnsi" w:hAnsiTheme="majorHAnsi"/>
          <w:sz w:val="24"/>
          <w:szCs w:val="24"/>
        </w:rPr>
        <w:t xml:space="preserve">, D. (2013). </w:t>
      </w:r>
      <w:r w:rsidRPr="00FE5BE3">
        <w:rPr>
          <w:rFonts w:asciiTheme="majorHAnsi" w:hAnsiTheme="majorHAnsi" w:cs="Calibri"/>
          <w:i/>
          <w:sz w:val="24"/>
          <w:szCs w:val="24"/>
        </w:rPr>
        <w:t>The Reign of Error: The Hoax of the Privatization Movement and the Danger to America’s Schools</w:t>
      </w:r>
      <w:r w:rsidRPr="00FE5BE3">
        <w:rPr>
          <w:rFonts w:asciiTheme="majorHAnsi" w:hAnsiTheme="majorHAnsi" w:cs="Calibri"/>
          <w:sz w:val="24"/>
          <w:szCs w:val="24"/>
        </w:rPr>
        <w:t>. New York: Alfred Knopf.</w:t>
      </w:r>
    </w:p>
    <w:p w14:paraId="40FB1566" w14:textId="355A9554" w:rsidR="00F402C3" w:rsidRPr="00FE5BE3" w:rsidRDefault="005B548B" w:rsidP="00C87F72">
      <w:pPr>
        <w:pStyle w:val="CommentText"/>
        <w:spacing w:after="120"/>
        <w:rPr>
          <w:rFonts w:asciiTheme="majorHAnsi" w:hAnsiTheme="majorHAnsi" w:cs="Calibri"/>
          <w:sz w:val="24"/>
          <w:szCs w:val="24"/>
        </w:rPr>
      </w:pPr>
      <w:proofErr w:type="spellStart"/>
      <w:r w:rsidRPr="00FE5BE3">
        <w:rPr>
          <w:rFonts w:asciiTheme="majorHAnsi" w:hAnsiTheme="majorHAnsi" w:cs="Calibri"/>
          <w:sz w:val="24"/>
          <w:szCs w:val="24"/>
        </w:rPr>
        <w:t>Riep</w:t>
      </w:r>
      <w:proofErr w:type="spellEnd"/>
      <w:r w:rsidRPr="00FE5BE3">
        <w:rPr>
          <w:rFonts w:asciiTheme="majorHAnsi" w:hAnsiTheme="majorHAnsi" w:cs="Calibri"/>
          <w:sz w:val="24"/>
          <w:szCs w:val="24"/>
        </w:rPr>
        <w:t xml:space="preserve">, C. (2015) </w:t>
      </w:r>
      <w:proofErr w:type="spellStart"/>
      <w:r w:rsidRPr="00FE5BE3">
        <w:rPr>
          <w:rFonts w:asciiTheme="majorHAnsi" w:hAnsiTheme="majorHAnsi" w:cs="Calibri"/>
          <w:i/>
          <w:sz w:val="24"/>
          <w:szCs w:val="24"/>
        </w:rPr>
        <w:t>Corporatised</w:t>
      </w:r>
      <w:proofErr w:type="spellEnd"/>
      <w:r w:rsidRPr="00FE5BE3">
        <w:rPr>
          <w:rFonts w:asciiTheme="majorHAnsi" w:hAnsiTheme="majorHAnsi" w:cs="Calibri"/>
          <w:i/>
          <w:sz w:val="24"/>
          <w:szCs w:val="24"/>
        </w:rPr>
        <w:t xml:space="preserve"> Education in the Philippines: Pearson, Ayala Corporation, and the Emergence of Affordable Private Education </w:t>
      </w:r>
      <w:proofErr w:type="spellStart"/>
      <w:r w:rsidRPr="00FE5BE3">
        <w:rPr>
          <w:rFonts w:asciiTheme="majorHAnsi" w:hAnsiTheme="majorHAnsi" w:cs="Calibri"/>
          <w:i/>
          <w:sz w:val="24"/>
          <w:szCs w:val="24"/>
        </w:rPr>
        <w:t>Centers</w:t>
      </w:r>
      <w:proofErr w:type="spellEnd"/>
      <w:r w:rsidRPr="00FE5BE3">
        <w:rPr>
          <w:rFonts w:asciiTheme="majorHAnsi" w:hAnsiTheme="majorHAnsi" w:cs="Calibri"/>
          <w:sz w:val="24"/>
          <w:szCs w:val="24"/>
        </w:rPr>
        <w:t>.</w:t>
      </w:r>
      <w:r w:rsidR="00F402C3" w:rsidRPr="00FE5BE3">
        <w:rPr>
          <w:rFonts w:asciiTheme="majorHAnsi" w:hAnsiTheme="majorHAnsi" w:cs="Calibri"/>
          <w:sz w:val="24"/>
          <w:szCs w:val="24"/>
        </w:rPr>
        <w:t xml:space="preserve"> Brussels: Education International.</w:t>
      </w:r>
    </w:p>
    <w:p w14:paraId="592CF37B" w14:textId="2641E26C" w:rsidR="00F402C3" w:rsidRPr="00FE5BE3" w:rsidRDefault="00F402C3" w:rsidP="00C87F72">
      <w:pPr>
        <w:pStyle w:val="CommentText"/>
        <w:spacing w:after="120"/>
        <w:rPr>
          <w:rFonts w:asciiTheme="majorHAnsi" w:hAnsiTheme="majorHAnsi" w:cs="Calibri"/>
          <w:sz w:val="24"/>
          <w:szCs w:val="24"/>
        </w:rPr>
      </w:pPr>
      <w:proofErr w:type="gramStart"/>
      <w:r w:rsidRPr="00FE5BE3">
        <w:rPr>
          <w:rFonts w:asciiTheme="majorHAnsi" w:hAnsiTheme="majorHAnsi" w:cs="Calibri"/>
          <w:sz w:val="24"/>
          <w:szCs w:val="24"/>
        </w:rPr>
        <w:t xml:space="preserve">Thrift, N. (2005) </w:t>
      </w:r>
      <w:r w:rsidRPr="00FE5BE3">
        <w:rPr>
          <w:rFonts w:asciiTheme="majorHAnsi" w:hAnsiTheme="majorHAnsi" w:cs="Calibri"/>
          <w:i/>
          <w:sz w:val="24"/>
          <w:szCs w:val="24"/>
        </w:rPr>
        <w:t>Knowing Capitalism</w:t>
      </w:r>
      <w:r w:rsidRPr="00FE5BE3">
        <w:rPr>
          <w:rFonts w:asciiTheme="majorHAnsi" w:hAnsiTheme="majorHAnsi" w:cs="Calibri"/>
          <w:sz w:val="24"/>
          <w:szCs w:val="24"/>
        </w:rPr>
        <w:t>.</w:t>
      </w:r>
      <w:proofErr w:type="gramEnd"/>
      <w:r w:rsidRPr="00FE5BE3">
        <w:rPr>
          <w:rFonts w:asciiTheme="majorHAnsi" w:hAnsiTheme="majorHAnsi" w:cs="Calibri"/>
          <w:sz w:val="24"/>
          <w:szCs w:val="24"/>
        </w:rPr>
        <w:t xml:space="preserve"> </w:t>
      </w:r>
      <w:r w:rsidR="00EC7B88" w:rsidRPr="00FE5BE3">
        <w:rPr>
          <w:rFonts w:asciiTheme="majorHAnsi" w:hAnsiTheme="majorHAnsi" w:cs="Calibri"/>
          <w:sz w:val="24"/>
          <w:szCs w:val="24"/>
        </w:rPr>
        <w:t xml:space="preserve">London: </w:t>
      </w:r>
      <w:r w:rsidRPr="00FE5BE3">
        <w:rPr>
          <w:rFonts w:asciiTheme="majorHAnsi" w:hAnsiTheme="majorHAnsi" w:cs="Calibri"/>
          <w:sz w:val="24"/>
          <w:szCs w:val="24"/>
        </w:rPr>
        <w:t>Sage.</w:t>
      </w:r>
    </w:p>
    <w:p w14:paraId="73015501" w14:textId="77777777" w:rsidR="00F402C3" w:rsidRPr="00FE5BE3" w:rsidRDefault="00F402C3" w:rsidP="00C87F72">
      <w:pPr>
        <w:pStyle w:val="CommentText"/>
        <w:spacing w:after="120"/>
        <w:rPr>
          <w:rFonts w:asciiTheme="majorHAnsi" w:hAnsiTheme="majorHAnsi"/>
          <w:sz w:val="24"/>
          <w:szCs w:val="24"/>
        </w:rPr>
      </w:pPr>
    </w:p>
    <w:p w14:paraId="52994924" w14:textId="77777777" w:rsidR="00CB4335" w:rsidRPr="00FE5BE3" w:rsidRDefault="00CB4335" w:rsidP="00BE3A93">
      <w:pPr>
        <w:spacing w:after="120"/>
        <w:rPr>
          <w:rFonts w:asciiTheme="majorHAnsi" w:hAnsiTheme="majorHAnsi"/>
          <w:b/>
          <w:i/>
        </w:rPr>
      </w:pPr>
    </w:p>
    <w:p w14:paraId="02860BCF" w14:textId="77777777" w:rsidR="00BE3A93" w:rsidRPr="00FE5BE3" w:rsidRDefault="00BE3A93" w:rsidP="00A808F9">
      <w:pPr>
        <w:spacing w:after="120"/>
        <w:jc w:val="both"/>
        <w:rPr>
          <w:rFonts w:asciiTheme="majorHAnsi" w:hAnsiTheme="majorHAnsi"/>
          <w:b/>
          <w:i/>
        </w:rPr>
      </w:pPr>
    </w:p>
    <w:sectPr w:rsidR="00BE3A93" w:rsidRPr="00FE5BE3" w:rsidSect="007F7F9E">
      <w:headerReference w:type="default" r:id="rId10"/>
      <w:footerReference w:type="default" r:id="rId11"/>
      <w:pgSz w:w="11900" w:h="16840"/>
      <w:pgMar w:top="1361" w:right="1361" w:bottom="1361" w:left="136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6F0CB" w15:done="0"/>
  <w15:commentEx w15:paraId="59EBC1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BE7C" w14:textId="77777777" w:rsidR="00CA380C" w:rsidRDefault="00CA380C" w:rsidP="00C66300">
      <w:r>
        <w:separator/>
      </w:r>
    </w:p>
  </w:endnote>
  <w:endnote w:type="continuationSeparator" w:id="0">
    <w:p w14:paraId="419FADC9" w14:textId="77777777" w:rsidR="00CA380C" w:rsidRDefault="00CA380C" w:rsidP="00C6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13245"/>
      <w:docPartObj>
        <w:docPartGallery w:val="Page Numbers (Bottom of Page)"/>
        <w:docPartUnique/>
      </w:docPartObj>
    </w:sdtPr>
    <w:sdtEndPr>
      <w:rPr>
        <w:color w:val="808080" w:themeColor="background1" w:themeShade="80"/>
        <w:spacing w:val="60"/>
      </w:rPr>
    </w:sdtEndPr>
    <w:sdtContent>
      <w:p w14:paraId="4FAD7317" w14:textId="47919D7D" w:rsidR="00CA380C" w:rsidRDefault="00CA38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604B">
          <w:rPr>
            <w:noProof/>
          </w:rPr>
          <w:t>5</w:t>
        </w:r>
        <w:r>
          <w:rPr>
            <w:noProof/>
          </w:rPr>
          <w:fldChar w:fldCharType="end"/>
        </w:r>
        <w:r>
          <w:t xml:space="preserve"> | </w:t>
        </w:r>
        <w:r>
          <w:rPr>
            <w:color w:val="808080" w:themeColor="background1" w:themeShade="80"/>
            <w:spacing w:val="60"/>
          </w:rPr>
          <w:t>Page</w:t>
        </w:r>
      </w:p>
    </w:sdtContent>
  </w:sdt>
  <w:p w14:paraId="1F40B8DC" w14:textId="77777777" w:rsidR="00CA380C" w:rsidRDefault="00CA3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0A4E" w14:textId="77777777" w:rsidR="00CA380C" w:rsidRDefault="00CA380C" w:rsidP="00C66300">
      <w:r>
        <w:separator/>
      </w:r>
    </w:p>
  </w:footnote>
  <w:footnote w:type="continuationSeparator" w:id="0">
    <w:p w14:paraId="6FA54330" w14:textId="77777777" w:rsidR="00CA380C" w:rsidRDefault="00CA380C" w:rsidP="00C66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AC23" w14:textId="38B352D3" w:rsidR="00CA380C" w:rsidRPr="0043546B" w:rsidRDefault="00CA380C" w:rsidP="00CA380C">
    <w:pPr>
      <w:pStyle w:val="Header"/>
      <w:jc w:val="right"/>
      <w:rPr>
        <w:rFonts w:asciiTheme="majorHAnsi" w:hAnsiTheme="majorHAnsi"/>
        <w:sz w:val="20"/>
        <w:szCs w:val="20"/>
      </w:rPr>
    </w:pPr>
    <w:r>
      <w:rPr>
        <w:rFonts w:asciiTheme="majorHAnsi" w:hAnsiTheme="majorHAnsi"/>
        <w:sz w:val="20"/>
        <w:szCs w:val="20"/>
      </w:rPr>
      <w:t>EI</w:t>
    </w:r>
    <w:r w:rsidRPr="0043546B">
      <w:rPr>
        <w:rFonts w:asciiTheme="majorHAnsi" w:hAnsiTheme="majorHAnsi"/>
        <w:sz w:val="20"/>
        <w:szCs w:val="20"/>
      </w:rPr>
      <w:t xml:space="preserve"> OECD Affiliates Conference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0768"/>
    <w:multiLevelType w:val="hybridMultilevel"/>
    <w:tmpl w:val="99AAB2AC"/>
    <w:lvl w:ilvl="0" w:tplc="89B0B70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D7C6A"/>
    <w:multiLevelType w:val="hybridMultilevel"/>
    <w:tmpl w:val="8634DCA2"/>
    <w:lvl w:ilvl="0" w:tplc="EFB21A7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A25DC"/>
    <w:multiLevelType w:val="hybridMultilevel"/>
    <w:tmpl w:val="E79E3650"/>
    <w:lvl w:ilvl="0" w:tplc="33AE112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241F1"/>
    <w:multiLevelType w:val="hybridMultilevel"/>
    <w:tmpl w:val="35F8F8BC"/>
    <w:lvl w:ilvl="0" w:tplc="B51C6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E61AAF"/>
    <w:multiLevelType w:val="hybridMultilevel"/>
    <w:tmpl w:val="97D0B44A"/>
    <w:lvl w:ilvl="0" w:tplc="33AE112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Sellar">
    <w15:presenceInfo w15:providerId="AD" w15:userId="S-1-5-21-620321403-24207062-1845911597-507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9E"/>
    <w:rsid w:val="00022698"/>
    <w:rsid w:val="00063116"/>
    <w:rsid w:val="00070FE0"/>
    <w:rsid w:val="000A04F8"/>
    <w:rsid w:val="000C31ED"/>
    <w:rsid w:val="000C3E41"/>
    <w:rsid w:val="000D7763"/>
    <w:rsid w:val="000E34B5"/>
    <w:rsid w:val="00105B95"/>
    <w:rsid w:val="001102A2"/>
    <w:rsid w:val="0012311A"/>
    <w:rsid w:val="00187175"/>
    <w:rsid w:val="001E38D6"/>
    <w:rsid w:val="001E5276"/>
    <w:rsid w:val="00215B7B"/>
    <w:rsid w:val="00252A88"/>
    <w:rsid w:val="0030663F"/>
    <w:rsid w:val="00353C6B"/>
    <w:rsid w:val="0037083C"/>
    <w:rsid w:val="00375F6E"/>
    <w:rsid w:val="003830EA"/>
    <w:rsid w:val="003B2A5D"/>
    <w:rsid w:val="0043546B"/>
    <w:rsid w:val="004619C6"/>
    <w:rsid w:val="00475738"/>
    <w:rsid w:val="00551DF5"/>
    <w:rsid w:val="00596D8B"/>
    <w:rsid w:val="005A0B2F"/>
    <w:rsid w:val="005B548B"/>
    <w:rsid w:val="005C65D0"/>
    <w:rsid w:val="00653D39"/>
    <w:rsid w:val="00657AF2"/>
    <w:rsid w:val="006732E9"/>
    <w:rsid w:val="0067572C"/>
    <w:rsid w:val="007023A2"/>
    <w:rsid w:val="00761DBA"/>
    <w:rsid w:val="007A307C"/>
    <w:rsid w:val="007B18F7"/>
    <w:rsid w:val="007C03F8"/>
    <w:rsid w:val="007D494B"/>
    <w:rsid w:val="007F7F9E"/>
    <w:rsid w:val="00843EB2"/>
    <w:rsid w:val="00877F77"/>
    <w:rsid w:val="008D6377"/>
    <w:rsid w:val="00937571"/>
    <w:rsid w:val="009478D4"/>
    <w:rsid w:val="009B7EE5"/>
    <w:rsid w:val="009C2FA8"/>
    <w:rsid w:val="009E2ADC"/>
    <w:rsid w:val="009F683E"/>
    <w:rsid w:val="00A15A79"/>
    <w:rsid w:val="00A23040"/>
    <w:rsid w:val="00A804E7"/>
    <w:rsid w:val="00A808F9"/>
    <w:rsid w:val="00AB70C0"/>
    <w:rsid w:val="00AD1CCA"/>
    <w:rsid w:val="00AD2898"/>
    <w:rsid w:val="00B1514D"/>
    <w:rsid w:val="00B30F14"/>
    <w:rsid w:val="00B4199C"/>
    <w:rsid w:val="00BC7319"/>
    <w:rsid w:val="00BC7C20"/>
    <w:rsid w:val="00BE3A93"/>
    <w:rsid w:val="00C160E1"/>
    <w:rsid w:val="00C30837"/>
    <w:rsid w:val="00C66300"/>
    <w:rsid w:val="00C87F72"/>
    <w:rsid w:val="00C92553"/>
    <w:rsid w:val="00CA380C"/>
    <w:rsid w:val="00CA585D"/>
    <w:rsid w:val="00CB4335"/>
    <w:rsid w:val="00CF1624"/>
    <w:rsid w:val="00D20097"/>
    <w:rsid w:val="00D314C0"/>
    <w:rsid w:val="00D53DA3"/>
    <w:rsid w:val="00DB417B"/>
    <w:rsid w:val="00E07574"/>
    <w:rsid w:val="00E3341E"/>
    <w:rsid w:val="00E40979"/>
    <w:rsid w:val="00E80DA4"/>
    <w:rsid w:val="00E92A8C"/>
    <w:rsid w:val="00EC7B88"/>
    <w:rsid w:val="00EE604B"/>
    <w:rsid w:val="00F402C3"/>
    <w:rsid w:val="00F443F1"/>
    <w:rsid w:val="00F57F79"/>
    <w:rsid w:val="00F71AA3"/>
    <w:rsid w:val="00F927E5"/>
    <w:rsid w:val="00FB12F3"/>
    <w:rsid w:val="00FE5BE3"/>
    <w:rsid w:val="00FF7D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CA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F9"/>
    <w:pPr>
      <w:ind w:left="720"/>
      <w:contextualSpacing/>
    </w:pPr>
  </w:style>
  <w:style w:type="character" w:styleId="FootnoteReference">
    <w:name w:val="footnote reference"/>
    <w:rsid w:val="00E3341E"/>
    <w:rPr>
      <w:vertAlign w:val="superscript"/>
    </w:rPr>
  </w:style>
  <w:style w:type="paragraph" w:styleId="FootnoteText">
    <w:name w:val="footnote text"/>
    <w:basedOn w:val="Normal"/>
    <w:link w:val="FootnoteTextChar"/>
    <w:rsid w:val="00C66300"/>
    <w:rPr>
      <w:rFonts w:ascii="Cambria" w:eastAsia="Cambria" w:hAnsi="Cambria" w:cs="Times New Roman"/>
      <w:lang w:val="x-none" w:eastAsia="x-none"/>
    </w:rPr>
  </w:style>
  <w:style w:type="character" w:customStyle="1" w:styleId="FootnoteTextChar">
    <w:name w:val="Footnote Text Char"/>
    <w:basedOn w:val="DefaultParagraphFont"/>
    <w:link w:val="FootnoteText"/>
    <w:rsid w:val="00C66300"/>
    <w:rPr>
      <w:rFonts w:ascii="Cambria" w:eastAsia="Cambria" w:hAnsi="Cambria" w:cs="Times New Roman"/>
      <w:lang w:val="x-none" w:eastAsia="x-none"/>
    </w:rPr>
  </w:style>
  <w:style w:type="paragraph" w:customStyle="1" w:styleId="ColorfulList-Accent11">
    <w:name w:val="Colorful List - Accent 11"/>
    <w:basedOn w:val="Normal"/>
    <w:uiPriority w:val="34"/>
    <w:qFormat/>
    <w:rsid w:val="0067572C"/>
    <w:pPr>
      <w:spacing w:after="200" w:line="276" w:lineRule="auto"/>
      <w:ind w:left="720"/>
      <w:contextualSpacing/>
    </w:pPr>
    <w:rPr>
      <w:rFonts w:ascii="Calibri" w:eastAsia="Calibri" w:hAnsi="Calibri" w:cs="Times New Roman"/>
      <w:sz w:val="22"/>
      <w:szCs w:val="22"/>
      <w:lang w:val="en-US"/>
    </w:rPr>
  </w:style>
  <w:style w:type="character" w:customStyle="1" w:styleId="CommentTextChar">
    <w:name w:val="Comment Text Char"/>
    <w:basedOn w:val="DefaultParagraphFont"/>
    <w:link w:val="CommentText"/>
    <w:uiPriority w:val="99"/>
    <w:rsid w:val="007C03F8"/>
    <w:rPr>
      <w:rFonts w:ascii="Calibri" w:eastAsia="Calibri" w:hAnsi="Calibri" w:cs="Times New Roman"/>
      <w:sz w:val="20"/>
      <w:szCs w:val="20"/>
    </w:rPr>
  </w:style>
  <w:style w:type="paragraph" w:styleId="CommentText">
    <w:name w:val="annotation text"/>
    <w:basedOn w:val="Normal"/>
    <w:link w:val="CommentTextChar"/>
    <w:uiPriority w:val="99"/>
    <w:unhideWhenUsed/>
    <w:rsid w:val="007C03F8"/>
    <w:pPr>
      <w:spacing w:after="200"/>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7C03F8"/>
  </w:style>
  <w:style w:type="character" w:styleId="Hyperlink">
    <w:name w:val="Hyperlink"/>
    <w:basedOn w:val="DefaultParagraphFont"/>
    <w:uiPriority w:val="99"/>
    <w:unhideWhenUsed/>
    <w:rsid w:val="005B548B"/>
    <w:rPr>
      <w:color w:val="0000FF"/>
      <w:u w:val="single"/>
    </w:rPr>
  </w:style>
  <w:style w:type="paragraph" w:styleId="Header">
    <w:name w:val="header"/>
    <w:basedOn w:val="Normal"/>
    <w:link w:val="HeaderChar"/>
    <w:uiPriority w:val="99"/>
    <w:unhideWhenUsed/>
    <w:rsid w:val="001102A2"/>
    <w:pPr>
      <w:tabs>
        <w:tab w:val="center" w:pos="4680"/>
        <w:tab w:val="right" w:pos="9360"/>
      </w:tabs>
    </w:pPr>
  </w:style>
  <w:style w:type="character" w:customStyle="1" w:styleId="HeaderChar">
    <w:name w:val="Header Char"/>
    <w:basedOn w:val="DefaultParagraphFont"/>
    <w:link w:val="Header"/>
    <w:uiPriority w:val="99"/>
    <w:rsid w:val="001102A2"/>
  </w:style>
  <w:style w:type="paragraph" w:styleId="Footer">
    <w:name w:val="footer"/>
    <w:basedOn w:val="Normal"/>
    <w:link w:val="FooterChar"/>
    <w:uiPriority w:val="99"/>
    <w:unhideWhenUsed/>
    <w:rsid w:val="001102A2"/>
    <w:pPr>
      <w:tabs>
        <w:tab w:val="center" w:pos="4680"/>
        <w:tab w:val="right" w:pos="9360"/>
      </w:tabs>
    </w:pPr>
  </w:style>
  <w:style w:type="character" w:customStyle="1" w:styleId="FooterChar">
    <w:name w:val="Footer Char"/>
    <w:basedOn w:val="DefaultParagraphFont"/>
    <w:link w:val="Footer"/>
    <w:uiPriority w:val="99"/>
    <w:rsid w:val="001102A2"/>
  </w:style>
  <w:style w:type="character" w:styleId="CommentReference">
    <w:name w:val="annotation reference"/>
    <w:basedOn w:val="DefaultParagraphFont"/>
    <w:uiPriority w:val="99"/>
    <w:semiHidden/>
    <w:unhideWhenUsed/>
    <w:rsid w:val="000C3E41"/>
    <w:rPr>
      <w:sz w:val="16"/>
      <w:szCs w:val="16"/>
    </w:rPr>
  </w:style>
  <w:style w:type="paragraph" w:styleId="CommentSubject">
    <w:name w:val="annotation subject"/>
    <w:basedOn w:val="CommentText"/>
    <w:next w:val="CommentText"/>
    <w:link w:val="CommentSubjectChar"/>
    <w:uiPriority w:val="99"/>
    <w:semiHidden/>
    <w:unhideWhenUsed/>
    <w:rsid w:val="000C3E41"/>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C3E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C3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4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F9"/>
    <w:pPr>
      <w:ind w:left="720"/>
      <w:contextualSpacing/>
    </w:pPr>
  </w:style>
  <w:style w:type="character" w:styleId="FootnoteReference">
    <w:name w:val="footnote reference"/>
    <w:rsid w:val="00E3341E"/>
    <w:rPr>
      <w:vertAlign w:val="superscript"/>
    </w:rPr>
  </w:style>
  <w:style w:type="paragraph" w:styleId="FootnoteText">
    <w:name w:val="footnote text"/>
    <w:basedOn w:val="Normal"/>
    <w:link w:val="FootnoteTextChar"/>
    <w:rsid w:val="00C66300"/>
    <w:rPr>
      <w:rFonts w:ascii="Cambria" w:eastAsia="Cambria" w:hAnsi="Cambria" w:cs="Times New Roman"/>
      <w:lang w:val="x-none" w:eastAsia="x-none"/>
    </w:rPr>
  </w:style>
  <w:style w:type="character" w:customStyle="1" w:styleId="FootnoteTextChar">
    <w:name w:val="Footnote Text Char"/>
    <w:basedOn w:val="DefaultParagraphFont"/>
    <w:link w:val="FootnoteText"/>
    <w:rsid w:val="00C66300"/>
    <w:rPr>
      <w:rFonts w:ascii="Cambria" w:eastAsia="Cambria" w:hAnsi="Cambria" w:cs="Times New Roman"/>
      <w:lang w:val="x-none" w:eastAsia="x-none"/>
    </w:rPr>
  </w:style>
  <w:style w:type="paragraph" w:customStyle="1" w:styleId="ColorfulList-Accent11">
    <w:name w:val="Colorful List - Accent 11"/>
    <w:basedOn w:val="Normal"/>
    <w:uiPriority w:val="34"/>
    <w:qFormat/>
    <w:rsid w:val="0067572C"/>
    <w:pPr>
      <w:spacing w:after="200" w:line="276" w:lineRule="auto"/>
      <w:ind w:left="720"/>
      <w:contextualSpacing/>
    </w:pPr>
    <w:rPr>
      <w:rFonts w:ascii="Calibri" w:eastAsia="Calibri" w:hAnsi="Calibri" w:cs="Times New Roman"/>
      <w:sz w:val="22"/>
      <w:szCs w:val="22"/>
      <w:lang w:val="en-US"/>
    </w:rPr>
  </w:style>
  <w:style w:type="character" w:customStyle="1" w:styleId="CommentTextChar">
    <w:name w:val="Comment Text Char"/>
    <w:basedOn w:val="DefaultParagraphFont"/>
    <w:link w:val="CommentText"/>
    <w:uiPriority w:val="99"/>
    <w:rsid w:val="007C03F8"/>
    <w:rPr>
      <w:rFonts w:ascii="Calibri" w:eastAsia="Calibri" w:hAnsi="Calibri" w:cs="Times New Roman"/>
      <w:sz w:val="20"/>
      <w:szCs w:val="20"/>
    </w:rPr>
  </w:style>
  <w:style w:type="paragraph" w:styleId="CommentText">
    <w:name w:val="annotation text"/>
    <w:basedOn w:val="Normal"/>
    <w:link w:val="CommentTextChar"/>
    <w:uiPriority w:val="99"/>
    <w:unhideWhenUsed/>
    <w:rsid w:val="007C03F8"/>
    <w:pPr>
      <w:spacing w:after="200"/>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7C03F8"/>
  </w:style>
  <w:style w:type="character" w:styleId="Hyperlink">
    <w:name w:val="Hyperlink"/>
    <w:basedOn w:val="DefaultParagraphFont"/>
    <w:uiPriority w:val="99"/>
    <w:unhideWhenUsed/>
    <w:rsid w:val="005B548B"/>
    <w:rPr>
      <w:color w:val="0000FF"/>
      <w:u w:val="single"/>
    </w:rPr>
  </w:style>
  <w:style w:type="paragraph" w:styleId="Header">
    <w:name w:val="header"/>
    <w:basedOn w:val="Normal"/>
    <w:link w:val="HeaderChar"/>
    <w:uiPriority w:val="99"/>
    <w:unhideWhenUsed/>
    <w:rsid w:val="001102A2"/>
    <w:pPr>
      <w:tabs>
        <w:tab w:val="center" w:pos="4680"/>
        <w:tab w:val="right" w:pos="9360"/>
      </w:tabs>
    </w:pPr>
  </w:style>
  <w:style w:type="character" w:customStyle="1" w:styleId="HeaderChar">
    <w:name w:val="Header Char"/>
    <w:basedOn w:val="DefaultParagraphFont"/>
    <w:link w:val="Header"/>
    <w:uiPriority w:val="99"/>
    <w:rsid w:val="001102A2"/>
  </w:style>
  <w:style w:type="paragraph" w:styleId="Footer">
    <w:name w:val="footer"/>
    <w:basedOn w:val="Normal"/>
    <w:link w:val="FooterChar"/>
    <w:uiPriority w:val="99"/>
    <w:unhideWhenUsed/>
    <w:rsid w:val="001102A2"/>
    <w:pPr>
      <w:tabs>
        <w:tab w:val="center" w:pos="4680"/>
        <w:tab w:val="right" w:pos="9360"/>
      </w:tabs>
    </w:pPr>
  </w:style>
  <w:style w:type="character" w:customStyle="1" w:styleId="FooterChar">
    <w:name w:val="Footer Char"/>
    <w:basedOn w:val="DefaultParagraphFont"/>
    <w:link w:val="Footer"/>
    <w:uiPriority w:val="99"/>
    <w:rsid w:val="001102A2"/>
  </w:style>
  <w:style w:type="character" w:styleId="CommentReference">
    <w:name w:val="annotation reference"/>
    <w:basedOn w:val="DefaultParagraphFont"/>
    <w:uiPriority w:val="99"/>
    <w:semiHidden/>
    <w:unhideWhenUsed/>
    <w:rsid w:val="000C3E41"/>
    <w:rPr>
      <w:sz w:val="16"/>
      <w:szCs w:val="16"/>
    </w:rPr>
  </w:style>
  <w:style w:type="paragraph" w:styleId="CommentSubject">
    <w:name w:val="annotation subject"/>
    <w:basedOn w:val="CommentText"/>
    <w:next w:val="CommentText"/>
    <w:link w:val="CommentSubjectChar"/>
    <w:uiPriority w:val="99"/>
    <w:semiHidden/>
    <w:unhideWhenUsed/>
    <w:rsid w:val="000C3E41"/>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C3E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C3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customXml" Target="../customXml/item5.xml"/><Relationship Id="rId1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dianeravitch.net/2012/05/07/the-united-states-of-pears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BCAB078F-827E-4AD7-B945-A64C4F5EF660}"/>
</file>

<file path=customXml/itemProps2.xml><?xml version="1.0" encoding="utf-8"?>
<ds:datastoreItem xmlns:ds="http://schemas.openxmlformats.org/officeDocument/2006/customXml" ds:itemID="{4B5200D7-4742-4996-9A60-776601601190}"/>
</file>

<file path=customXml/itemProps3.xml><?xml version="1.0" encoding="utf-8"?>
<ds:datastoreItem xmlns:ds="http://schemas.openxmlformats.org/officeDocument/2006/customXml" ds:itemID="{1F862555-5E1C-461E-A795-90A413DD3E6C}"/>
</file>

<file path=customXml/itemProps4.xml><?xml version="1.0" encoding="utf-8"?>
<ds:datastoreItem xmlns:ds="http://schemas.openxmlformats.org/officeDocument/2006/customXml" ds:itemID="{9F1B9381-B151-D544-9F71-36ADC9D6CFF2}"/>
</file>

<file path=customXml/itemProps5.xml><?xml version="1.0" encoding="utf-8"?>
<ds:datastoreItem xmlns:ds="http://schemas.openxmlformats.org/officeDocument/2006/customXml" ds:itemID="{6AD5FF6A-F121-448B-AF4B-6AAB506DA470}"/>
</file>

<file path=docProps/app.xml><?xml version="1.0" encoding="utf-8"?>
<Properties xmlns="http://schemas.openxmlformats.org/officeDocument/2006/extended-properties" xmlns:vt="http://schemas.openxmlformats.org/officeDocument/2006/docPropsVTypes">
  <Template>Normal.dotm</Template>
  <TotalTime>55</TotalTime>
  <Pages>5</Pages>
  <Words>2387</Words>
  <Characters>13612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Hogan</dc:creator>
  <cp:lastModifiedBy>Anna Hogan</cp:lastModifiedBy>
  <cp:revision>9</cp:revision>
  <dcterms:created xsi:type="dcterms:W3CDTF">2016-03-01T01:53:00Z</dcterms:created>
  <dcterms:modified xsi:type="dcterms:W3CDTF">2016-03-01T22:28:00Z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