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1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55"/>
        <w:spacing w:line="248" w:lineRule="auto" w:before="240" w:after="120"/>
        <w:ind w:left="0"/>
        <w:rPr>
          <w:b/>
          <w:sz w:val="24"/>
          <w:szCs w:val="24"/>
          <w:rFonts w:ascii="Arial" w:eastAsia="Arial" w:hAnsi="Arial"/>
        </w:rPr>
      </w:pPr>
      <w:r>
        <w:rPr>
          <w:rStyle w:val="Character19"/>
          <w:sz w:val="24"/>
          <w:szCs w:val="24"/>
        </w:rPr>
        <w:t xml:space="preserve">EI CONFERENCE FOR MEMBER ORGANISATIONS IN OECD COUNTRIES</w:t>
      </w:r>
    </w:p>
    <w:p>
      <w:pPr>
        <w:pStyle w:val="Para55"/>
        <w:spacing w:line="248" w:lineRule="auto" w:before="240" w:after="120"/>
        <w:ind w:left="0"/>
        <w:rPr>
          <w:b/>
          <w:sz w:val="24"/>
          <w:szCs w:val="24"/>
          <w:rFonts w:ascii="Arial" w:eastAsia="Arial" w:hAnsi="Arial"/>
        </w:rPr>
      </w:pPr>
      <w:r>
        <w:rPr>
          <w:rStyle w:val="Character19"/>
          <w:sz w:val="24"/>
          <w:szCs w:val="24"/>
        </w:rPr>
        <w:t xml:space="preserve">"Framing Education for the Public Good"</w:t>
      </w:r>
    </w:p>
    <w:p>
      <w:pPr>
        <w:pStyle w:val="Para55"/>
        <w:spacing w:line="248" w:lineRule="auto" w:before="240" w:after="120"/>
        <w:ind w:left="0"/>
        <w:rPr>
          <w:b/>
          <w:sz w:val="24"/>
          <w:szCs w:val="24"/>
          <w:rFonts w:ascii="Arial" w:eastAsia="Arial" w:hAnsi="Arial"/>
        </w:rPr>
      </w:pPr>
      <w:r>
        <w:rPr>
          <w:rStyle w:val="Character19"/>
          <w:sz w:val="24"/>
          <w:szCs w:val="24"/>
        </w:rPr>
        <w:t xml:space="preserve">London, 29-30 January 2013</w:t>
      </w:r>
    </w:p>
    <w:p>
      <w:pPr>
        <w:pStyle w:val="Para55"/>
        <w:spacing w:line="248" w:lineRule="auto" w:before="240" w:after="120"/>
        <w:ind w:left="0"/>
        <w:rPr>
          <w:b/>
          <w:sz w:val="24"/>
          <w:szCs w:val="24"/>
          <w:rFonts w:ascii="Arial" w:eastAsia="Arial" w:hAnsi="Arial"/>
        </w:rPr>
      </w:pPr>
      <w:r>
        <w:rPr>
          <w:rStyle w:val="Character19"/>
          <w:sz w:val="24"/>
          <w:szCs w:val="24"/>
        </w:rPr>
        <w:t xml:space="preserve">Opening remarks by Fred van Leeuwen, General Secretary EI</w:t>
      </w:r>
    </w:p>
    <w:p>
      <w:pPr>
        <w:pStyle w:val="Para55"/>
        <w:spacing w:line="248" w:lineRule="auto" w:before="240" w:after="120"/>
        <w:ind w:left="0"/>
        <w:rPr>
          <w:b/>
          <w:sz w:val="24"/>
          <w:szCs w:val="24"/>
          <w:rFonts w:ascii="Arial" w:eastAsia="Arial" w:hAnsi="Arial"/>
        </w:rPr>
      </w:pPr>
      <w:r>
        <w:rPr>
          <w:rStyle w:val="Character19"/>
          <w:sz w:val="24"/>
          <w:szCs w:val="24"/>
        </w:rPr>
        <w:t/>
      </w:r>
    </w:p>
    <w:p>
      <w:pPr>
        <w:pStyle w:val="a3"/>
        <w:numPr>
          <w:ilvl w:val="0"/>
          <w:numId w:val="1"/>
        </w:numPr>
        <w:jc w:val="left"/>
        <w:spacing w:line="248" w:lineRule="auto" w:after="200"/>
        <w:ind w:left="760" w:hanging="400"/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First of all, can I congratulate you all for being here. January is not the </w:t>
      </w:r>
      <w:r>
        <w:rPr>
          <w:rStyle w:val="Character22"/>
          <w:sz w:val="24"/>
          <w:szCs w:val="24"/>
        </w:rPr>
        <w:t xml:space="preserve">greatest month for travel, yet today we have a record attendance for an EI </w:t>
      </w:r>
      <w:r>
        <w:rPr>
          <w:rStyle w:val="Character22"/>
          <w:sz w:val="24"/>
          <w:szCs w:val="24"/>
        </w:rPr>
        <w:t xml:space="preserve">OECD Conference. It not only shows a high degree of commitment but also </w:t>
      </w:r>
      <w:r>
        <w:rPr>
          <w:rStyle w:val="Character22"/>
          <w:sz w:val="24"/>
          <w:szCs w:val="24"/>
        </w:rPr>
        <w:t xml:space="preserve">the relevance and importance of our Conference theme; ‘Framing Education </w:t>
      </w:r>
      <w:r>
        <w:rPr>
          <w:rStyle w:val="Character22"/>
          <w:sz w:val="24"/>
          <w:szCs w:val="24"/>
        </w:rPr>
        <w:t xml:space="preserve">for the Public Good’. </w:t>
      </w:r>
    </w:p>
    <w:p>
      <w:pPr>
        <w:pStyle w:val="a3"/>
        <w:numPr>
          <w:ilvl w:val="0"/>
          <w:numId w:val="1"/>
        </w:numPr>
        <w:jc w:val="left"/>
        <w:spacing w:line="248" w:lineRule="auto" w:after="200"/>
        <w:ind w:left="760" w:hanging="400"/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The Public Good. It is a term which easily leads to misunderstandings. When I </w:t>
      </w:r>
      <w:r>
        <w:rPr>
          <w:rStyle w:val="Character22"/>
          <w:sz w:val="24"/>
          <w:szCs w:val="24"/>
        </w:rPr>
        <w:t xml:space="preserve">heard David Cameron speak in Davos last Thursday about the bold steps his </w:t>
      </w:r>
      <w:r>
        <w:rPr>
          <w:rStyle w:val="Character22"/>
          <w:sz w:val="24"/>
          <w:szCs w:val="24"/>
        </w:rPr>
        <w:t xml:space="preserve">government is taking to accommodate markets, to keep his economy’s triple a </w:t>
      </w:r>
      <w:r>
        <w:rPr>
          <w:rStyle w:val="Character22"/>
          <w:sz w:val="24"/>
          <w:szCs w:val="24"/>
        </w:rPr>
        <w:t xml:space="preserve">rating, to pursue “revolutionary structural reforms” such as free schools, it </w:t>
      </w:r>
      <w:r>
        <w:rPr>
          <w:rStyle w:val="Character22"/>
          <w:sz w:val="24"/>
          <w:szCs w:val="24"/>
        </w:rPr>
        <w:t xml:space="preserve">occurred to me that Cameron’s Public Good is not necessarily ours. </w:t>
      </w:r>
    </w:p>
    <w:p>
      <w:pPr>
        <w:pStyle w:val="a3"/>
        <w:numPr>
          <w:ilvl w:val="0"/>
          <w:numId w:val="1"/>
        </w:numPr>
        <w:jc w:val="left"/>
        <w:spacing w:line="248" w:lineRule="auto" w:after="200"/>
        <w:ind w:left="760" w:hanging="400"/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We all know that the globalization of our economies, the ability of our nations </w:t>
      </w:r>
      <w:r>
        <w:rPr>
          <w:rStyle w:val="Character22"/>
          <w:sz w:val="24"/>
          <w:szCs w:val="24"/>
        </w:rPr>
        <w:t xml:space="preserve">to successfully compete in the global markets, and the crucial role our school </w:t>
      </w:r>
      <w:r>
        <w:rPr>
          <w:rStyle w:val="Character22"/>
          <w:sz w:val="24"/>
          <w:szCs w:val="24"/>
        </w:rPr>
        <w:t xml:space="preserve">systems play in enhancing that ability, has propelled education to the very top </w:t>
      </w:r>
      <w:r>
        <w:rPr>
          <w:rStyle w:val="Character22"/>
          <w:sz w:val="24"/>
          <w:szCs w:val="24"/>
        </w:rPr>
        <w:t xml:space="preserve">of the international agenda. Sure, there are reasons to be pleased about all </w:t>
      </w:r>
      <w:r>
        <w:rPr>
          <w:rStyle w:val="Character22"/>
          <w:sz w:val="24"/>
          <w:szCs w:val="24"/>
        </w:rPr>
        <w:t xml:space="preserve">the interest shown in our sector, but if investments in our school systems are </w:t>
      </w:r>
      <w:r>
        <w:rPr>
          <w:rStyle w:val="Character22"/>
          <w:sz w:val="24"/>
          <w:szCs w:val="24"/>
        </w:rPr>
        <w:t xml:space="preserve">solely or predominantly driven by the desire to boost our economies and </w:t>
      </w:r>
      <w:r>
        <w:rPr>
          <w:rStyle w:val="Character22"/>
          <w:sz w:val="24"/>
          <w:szCs w:val="24"/>
        </w:rPr>
        <w:t xml:space="preserve">satisfy markets, we need to be cautious. Education is a public good. It is not </w:t>
      </w:r>
      <w:r>
        <w:rPr>
          <w:rStyle w:val="Character22"/>
          <w:sz w:val="24"/>
          <w:szCs w:val="24"/>
        </w:rPr>
        <w:t xml:space="preserve">just an instrument to promote economic growth. Education is not a commodity. </w:t>
      </w:r>
      <w:r>
        <w:rPr>
          <w:rStyle w:val="Character22"/>
          <w:sz w:val="24"/>
          <w:szCs w:val="24"/>
        </w:rPr>
        <w:t xml:space="preserve">The values of public education, are essentially the values that underpin </w:t>
      </w:r>
      <w:r>
        <w:rPr>
          <w:rStyle w:val="Character22"/>
          <w:sz w:val="24"/>
          <w:szCs w:val="24"/>
        </w:rPr>
        <w:t xml:space="preserve">democracy as well as our prosperity. They encompass the principles of equity </w:t>
      </w:r>
      <w:r>
        <w:rPr>
          <w:rStyle w:val="Character22"/>
          <w:sz w:val="24"/>
          <w:szCs w:val="24"/>
        </w:rPr>
        <w:t xml:space="preserve">and equal opportunities, of non-discrimination and social justice. In this regard </w:t>
      </w:r>
      <w:r>
        <w:rPr>
          <w:rStyle w:val="Character22"/>
          <w:sz w:val="24"/>
          <w:szCs w:val="24"/>
        </w:rPr>
        <w:t xml:space="preserve">it is interesting to note that in the past two decades the education agenda has </w:t>
      </w:r>
      <w:r>
        <w:rPr>
          <w:rStyle w:val="Character22"/>
          <w:sz w:val="24"/>
          <w:szCs w:val="24"/>
        </w:rPr>
        <w:t xml:space="preserve">not been set by the organization that was established for that very purpose, </w:t>
      </w:r>
      <w:r>
        <w:rPr>
          <w:rStyle w:val="Character22"/>
          <w:sz w:val="24"/>
          <w:szCs w:val="24"/>
        </w:rPr>
        <w:t xml:space="preserve">UNESCO, but by the World Bank, the largest lender of education loans, and </w:t>
      </w:r>
      <w:r>
        <w:rPr>
          <w:rStyle w:val="Character22"/>
          <w:sz w:val="24"/>
          <w:szCs w:val="24"/>
        </w:rPr>
        <w:t xml:space="preserve">by the Organization for Economic Cooperation and Development. </w:t>
      </w:r>
    </w:p>
    <w:p>
      <w:pPr>
        <w:pStyle w:val="a3"/>
        <w:numPr>
          <w:ilvl w:val="0"/>
          <w:numId w:val="1"/>
        </w:numPr>
        <w:jc w:val="left"/>
        <w:spacing w:line="248" w:lineRule="auto" w:after="200"/>
        <w:ind w:left="760" w:hanging="400"/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The last time UNESCO developed a key international reference for the </w:t>
      </w:r>
      <w:r>
        <w:rPr>
          <w:rStyle w:val="Character22"/>
          <w:sz w:val="24"/>
          <w:szCs w:val="24"/>
        </w:rPr>
        <w:t xml:space="preserve">conceptualization of education, was in 1996 with the publication of the Delors </w:t>
      </w:r>
      <w:r>
        <w:rPr>
          <w:rStyle w:val="Character22"/>
          <w:sz w:val="24"/>
          <w:szCs w:val="24"/>
        </w:rPr>
        <w:t xml:space="preserve">Report: “Learning, the Treasure Within”.  As the global development context </w:t>
      </w:r>
      <w:r>
        <w:rPr>
          <w:rStyle w:val="Character22"/>
          <w:sz w:val="24"/>
          <w:szCs w:val="24"/>
        </w:rPr>
        <w:t xml:space="preserve">has significantly changed since the mid -1990s , this report, framed by the </w:t>
      </w:r>
      <w:r>
        <w:rPr>
          <w:rStyle w:val="Character22"/>
          <w:sz w:val="24"/>
          <w:szCs w:val="24"/>
        </w:rPr>
        <w:t xml:space="preserve">principles of lifelong learning and the four pillars of learning to be, to know, to </w:t>
      </w:r>
      <w:r>
        <w:rPr>
          <w:rStyle w:val="Character22"/>
          <w:sz w:val="24"/>
          <w:szCs w:val="24"/>
        </w:rPr>
        <w:t xml:space="preserve">do and to live together, will be revisited and updated, and EI has been invited </w:t>
      </w:r>
      <w:r>
        <w:rPr>
          <w:rStyle w:val="Character22"/>
          <w:sz w:val="24"/>
          <w:szCs w:val="24"/>
        </w:rPr>
        <w:t xml:space="preserve">to take part in this process. </w:t>
      </w:r>
    </w:p>
    <w:p>
      <w:pPr>
        <w:pStyle w:val="a3"/>
        <w:sectPr>
          <w:headerReference w:type="default" r:id="rId7"/>
          <w:pgSz w:w="11906" w:h="16838" w:orient="landscape" w:code="9"/>
          <w:pgMar w:top="1440" w:right="1440" w:bottom="1440" w:left="1440" w:header="708" w:footer="992" w:gutter="0"/>
          <w:docGrid w:linePitch="360" w:charSpace="200"/>
        </w:sectPr>
        <w:numPr>
          <w:ilvl w:val="0"/>
          <w:numId w:val="1"/>
        </w:numPr>
        <w:jc w:val="left"/>
        <w:spacing w:line="248" w:lineRule="auto" w:after="200"/>
        <w:ind w:left="760" w:hanging="400"/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Colleagues, seldom have the circumstances in which we operate be more </w:t>
      </w:r>
      <w:r>
        <w:rPr>
          <w:rStyle w:val="Character22"/>
          <w:sz w:val="24"/>
          <w:szCs w:val="24"/>
        </w:rPr>
        <w:t xml:space="preserve">unfavourable than today, economically and politically.   In the industrial </w:t>
      </w:r>
      <w:r>
        <w:rPr>
          <w:rStyle w:val="Character22"/>
          <w:sz w:val="24"/>
          <w:szCs w:val="24"/>
        </w:rPr>
        <w:t xml:space="preserve">economies, in the emerging democracies and in the developing countries, </w:t>
      </w:r>
    </w:p>
    <w:p>
      <w:pPr>
        <w:pStyle w:val="a3"/>
        <w:numPr>
          <w:ilvl w:val="0"/>
          <w:numId w:val="1"/>
        </w:numPr>
        <w:jc w:val="left"/>
        <w:spacing w:line="248" w:lineRule="auto" w:after="200"/>
        <w:ind w:left="760" w:hanging="400"/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many of our member organizations are engaged in a battle, two battles </w:t>
      </w:r>
      <w:r>
        <w:rPr>
          <w:rStyle w:val="Character22"/>
          <w:sz w:val="24"/>
          <w:szCs w:val="24"/>
        </w:rPr>
        <w:t xml:space="preserve">actually, a political and a professional battle.  And this is not about bread and </w:t>
      </w:r>
      <w:r>
        <w:rPr>
          <w:rStyle w:val="Character22"/>
          <w:sz w:val="24"/>
          <w:szCs w:val="24"/>
        </w:rPr>
        <w:t xml:space="preserve">butter issues.   It is about the future of public education, it is about the future </w:t>
      </w:r>
      <w:r>
        <w:rPr>
          <w:rStyle w:val="Character22"/>
          <w:sz w:val="24"/>
          <w:szCs w:val="24"/>
        </w:rPr>
        <w:t xml:space="preserve">of our profession, it is about achieving the right of our young people to quality </w:t>
      </w:r>
      <w:r>
        <w:rPr>
          <w:rStyle w:val="Character22"/>
          <w:sz w:val="24"/>
          <w:szCs w:val="24"/>
        </w:rPr>
        <w:t xml:space="preserve">education and training, about giving them a fair chance </w:t>
      </w:r>
      <w:r>
        <w:rPr>
          <w:rStyle w:val="Character19"/>
          <w:sz w:val="24"/>
          <w:szCs w:val="24"/>
        </w:rPr>
        <w:t>on</w:t>
      </w:r>
      <w:r>
        <w:rPr>
          <w:rStyle w:val="Character22"/>
          <w:sz w:val="24"/>
          <w:szCs w:val="24"/>
        </w:rPr>
        <w:t xml:space="preserve"> the labour market </w:t>
      </w:r>
      <w:r>
        <w:rPr>
          <w:rStyle w:val="Character22"/>
          <w:sz w:val="24"/>
          <w:szCs w:val="24"/>
        </w:rPr>
        <w:t xml:space="preserve">and in life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bookmarkStart w:id="1" w:name="_GoBack"/>
      <w:bookmarkEnd w:id="1"/>
      <w:r>
        <w:rPr>
          <w:rStyle w:val="Character22"/>
          <w:sz w:val="24"/>
          <w:szCs w:val="24"/>
        </w:rPr>
        <w:t xml:space="preserve">The economic and debt crisis is far from over – for any of us.   And as we speak, </w:t>
      </w:r>
      <w:r>
        <w:rPr>
          <w:rStyle w:val="Character22"/>
          <w:sz w:val="24"/>
          <w:szCs w:val="24"/>
        </w:rPr>
        <w:t xml:space="preserve">the public sector is facing the full brunt of it.   There is a common thread in the </w:t>
      </w:r>
      <w:r>
        <w:rPr>
          <w:rStyle w:val="Character22"/>
          <w:sz w:val="24"/>
          <w:szCs w:val="24"/>
        </w:rPr>
        <w:t xml:space="preserve">responses to the debt crisis of most OECD member states.   Whether </w:t>
      </w:r>
      <w:r>
        <w:rPr>
          <w:rStyle w:val="Character22"/>
          <w:sz w:val="24"/>
          <w:szCs w:val="24"/>
        </w:rPr>
        <w:t xml:space="preserve">governed by the left, the centre or the right, policies focus on austerity, on </w:t>
      </w:r>
      <w:r>
        <w:rPr>
          <w:rStyle w:val="Character22"/>
          <w:sz w:val="24"/>
          <w:szCs w:val="24"/>
        </w:rPr>
        <w:t xml:space="preserve">cutting back public expenditures, including education budgets. Greece, </w:t>
      </w:r>
      <w:r>
        <w:rPr>
          <w:rStyle w:val="Character22"/>
          <w:sz w:val="24"/>
          <w:szCs w:val="24"/>
        </w:rPr>
        <w:t xml:space="preserve">Portugal, Spain, Italy are forced to pursue horrendous austerity measures in </w:t>
      </w:r>
      <w:r>
        <w:rPr>
          <w:rStyle w:val="Character22"/>
          <w:sz w:val="24"/>
          <w:szCs w:val="24"/>
        </w:rPr>
        <w:t xml:space="preserve">exchange for loans from richer EU countries.    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And we know that the resources are there.  To give you an example: Earlier this </w:t>
      </w:r>
      <w:r>
        <w:rPr>
          <w:rStyle w:val="Character22"/>
          <w:sz w:val="24"/>
          <w:szCs w:val="24"/>
        </w:rPr>
        <w:t xml:space="preserve">year we completed a study on corporate taxation in the real economy, </w:t>
      </w:r>
      <w:r>
        <w:rPr>
          <w:rStyle w:val="Character22"/>
          <w:sz w:val="24"/>
          <w:szCs w:val="24"/>
        </w:rPr>
        <w:t xml:space="preserve">showing how and </w:t>
      </w:r>
      <w:r>
        <w:rPr>
          <w:rStyle w:val="Character19"/>
          <w:sz w:val="24"/>
          <w:szCs w:val="24"/>
        </w:rPr>
        <w:t xml:space="preserve">how much</w:t>
      </w:r>
      <w:r>
        <w:rPr>
          <w:rStyle w:val="Character22"/>
          <w:sz w:val="24"/>
          <w:szCs w:val="24"/>
        </w:rPr>
        <w:t xml:space="preserve"> global corporations avoid paying taxes by </w:t>
      </w:r>
      <w:r>
        <w:rPr>
          <w:rStyle w:val="Character22"/>
          <w:sz w:val="24"/>
          <w:szCs w:val="24"/>
        </w:rPr>
        <w:t xml:space="preserve">manipulating their prices and balance sheets along their global supply lines.  </w:t>
      </w:r>
      <w:r>
        <w:rPr>
          <w:rStyle w:val="Character22"/>
          <w:sz w:val="24"/>
          <w:szCs w:val="24"/>
        </w:rPr>
        <w:t xml:space="preserve">Between 10 and 15 trillion dollars! At the G20 summit last June in Mexico I </w:t>
      </w:r>
      <w:r>
        <w:rPr>
          <w:rStyle w:val="Character22"/>
          <w:sz w:val="24"/>
          <w:szCs w:val="24"/>
        </w:rPr>
        <w:t xml:space="preserve">confronted Christine LaGarde, Head of IMF, with these staggering figures and </w:t>
      </w:r>
      <w:r>
        <w:rPr>
          <w:rStyle w:val="Character22"/>
          <w:sz w:val="24"/>
          <w:szCs w:val="24"/>
        </w:rPr>
        <w:t xml:space="preserve">suggested that IMF should start helping governments close these fiscal </w:t>
      </w:r>
      <w:r>
        <w:rPr>
          <w:rStyle w:val="Character22"/>
          <w:sz w:val="24"/>
          <w:szCs w:val="24"/>
        </w:rPr>
        <w:t xml:space="preserve">loopholes and collect those trillions rather than pressing them to slash </w:t>
      </w:r>
      <w:r>
        <w:rPr>
          <w:rStyle w:val="Character22"/>
          <w:sz w:val="24"/>
          <w:szCs w:val="24"/>
        </w:rPr>
        <w:t xml:space="preserve">education budgets.  She promised us to look into this.  Well, we’ll see.  They </w:t>
      </w:r>
      <w:r>
        <w:rPr>
          <w:rStyle w:val="Character22"/>
          <w:sz w:val="24"/>
          <w:szCs w:val="24"/>
        </w:rPr>
        <w:t xml:space="preserve">have not yet called back.  My point is: The resources are there, it takes </w:t>
      </w:r>
      <w:r>
        <w:rPr>
          <w:rStyle w:val="Character22"/>
          <w:sz w:val="24"/>
          <w:szCs w:val="24"/>
        </w:rPr>
        <w:t xml:space="preserve">political will and political courage…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Colleagues, we must get back to the basics, get off the defensive, and </w:t>
      </w:r>
      <w:r>
        <w:rPr>
          <w:rStyle w:val="Character22"/>
          <w:sz w:val="24"/>
          <w:szCs w:val="24"/>
        </w:rPr>
        <w:t xml:space="preserve">articulate again why public education has such an important role in each of </w:t>
      </w:r>
      <w:r>
        <w:rPr>
          <w:rStyle w:val="Character22"/>
          <w:sz w:val="24"/>
          <w:szCs w:val="24"/>
        </w:rPr>
        <w:t xml:space="preserve">our societies and why it cannot be outsourced to the private sector.  We must </w:t>
      </w:r>
      <w:r>
        <w:rPr>
          <w:rStyle w:val="Character22"/>
          <w:sz w:val="24"/>
          <w:szCs w:val="24"/>
        </w:rPr>
        <w:t xml:space="preserve">make it clear to our political leaders that privatization and commercialization </w:t>
      </w:r>
      <w:r>
        <w:rPr>
          <w:rStyle w:val="Character22"/>
          <w:sz w:val="24"/>
          <w:szCs w:val="24"/>
        </w:rPr>
        <w:t xml:space="preserve">of education are not the answer.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Advocates of </w:t>
      </w:r>
      <w:r>
        <w:rPr>
          <w:rStyle w:val="Character19"/>
          <w:sz w:val="24"/>
          <w:szCs w:val="24"/>
        </w:rPr>
        <w:t>Charter</w:t>
      </w:r>
      <w:r>
        <w:rPr>
          <w:rStyle w:val="Character22"/>
          <w:sz w:val="24"/>
          <w:szCs w:val="24"/>
        </w:rPr>
        <w:t xml:space="preserve"> </w:t>
      </w:r>
      <w:r>
        <w:rPr>
          <w:rStyle w:val="Character19"/>
          <w:sz w:val="24"/>
          <w:szCs w:val="24"/>
        </w:rPr>
        <w:t>Schools</w:t>
      </w:r>
      <w:r>
        <w:rPr>
          <w:rStyle w:val="Character22"/>
          <w:sz w:val="24"/>
          <w:szCs w:val="24"/>
        </w:rPr>
        <w:t xml:space="preserve"> in the US, the </w:t>
      </w:r>
      <w:r>
        <w:rPr>
          <w:rStyle w:val="Character19"/>
          <w:sz w:val="24"/>
          <w:szCs w:val="24"/>
        </w:rPr>
        <w:t>Free</w:t>
      </w:r>
      <w:r>
        <w:rPr>
          <w:rStyle w:val="Character22"/>
          <w:sz w:val="24"/>
          <w:szCs w:val="24"/>
        </w:rPr>
        <w:t xml:space="preserve"> </w:t>
      </w:r>
      <w:r>
        <w:rPr>
          <w:rStyle w:val="Character19"/>
          <w:sz w:val="24"/>
          <w:szCs w:val="24"/>
        </w:rPr>
        <w:t>Schools</w:t>
      </w:r>
      <w:r>
        <w:rPr>
          <w:rStyle w:val="Character22"/>
          <w:sz w:val="24"/>
          <w:szCs w:val="24"/>
        </w:rPr>
        <w:t xml:space="preserve"> in Sweden and </w:t>
      </w:r>
      <w:r>
        <w:rPr>
          <w:rStyle w:val="Character22"/>
          <w:sz w:val="24"/>
          <w:szCs w:val="24"/>
        </w:rPr>
        <w:t xml:space="preserve">more recently the </w:t>
      </w:r>
      <w:r>
        <w:rPr>
          <w:rStyle w:val="Character19"/>
          <w:sz w:val="24"/>
          <w:szCs w:val="24"/>
        </w:rPr>
        <w:t>Academies</w:t>
      </w:r>
      <w:r>
        <w:rPr>
          <w:rStyle w:val="Character22"/>
          <w:sz w:val="24"/>
          <w:szCs w:val="24"/>
        </w:rPr>
        <w:t xml:space="preserve"> in the UK, argue that applying the free-market </w:t>
      </w:r>
      <w:r>
        <w:rPr>
          <w:rStyle w:val="Character22"/>
          <w:sz w:val="24"/>
          <w:szCs w:val="24"/>
        </w:rPr>
        <w:t xml:space="preserve">principles of choice and competition to the running of schools will drive </w:t>
      </w:r>
      <w:r>
        <w:rPr>
          <w:rStyle w:val="Character22"/>
          <w:sz w:val="24"/>
          <w:szCs w:val="24"/>
        </w:rPr>
        <w:t xml:space="preserve">standards up across the system.  Removing schools from state control and </w:t>
      </w:r>
      <w:r>
        <w:rPr>
          <w:rStyle w:val="Character22"/>
          <w:sz w:val="24"/>
          <w:szCs w:val="24"/>
        </w:rPr>
        <w:t xml:space="preserve">transferring public funds to private organisations to run them will see their </w:t>
      </w:r>
      <w:r>
        <w:rPr>
          <w:rStyle w:val="Character22"/>
          <w:sz w:val="24"/>
          <w:szCs w:val="24"/>
        </w:rPr>
        <w:t xml:space="preserve">results improve and compel state schools to work harder to keep up with </w:t>
      </w:r>
      <w:r>
        <w:rPr>
          <w:rStyle w:val="Character22"/>
          <w:sz w:val="24"/>
          <w:szCs w:val="24"/>
        </w:rPr>
        <w:t xml:space="preserve">them, or so the argument goes.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,But can they substantiate that claim? No, they cannot.  On the contrary.  Let’</w:t>
      </w:r>
      <w:r>
        <w:rPr>
          <w:rStyle w:val="Character22"/>
          <w:sz w:val="24"/>
          <w:szCs w:val="24"/>
        </w:rPr>
        <w:t xml:space="preserve">s have a look at three important findings: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19"/>
          <w:sz w:val="24"/>
          <w:szCs w:val="24"/>
        </w:rPr>
        <w:t>One</w:t>
      </w:r>
      <w:r>
        <w:rPr>
          <w:rStyle w:val="Character22"/>
          <w:sz w:val="24"/>
          <w:szCs w:val="24"/>
        </w:rPr>
        <w:t xml:space="preserve">: The United States.  A recent national study by the Center for Research </w:t>
      </w:r>
      <w:r>
        <w:rPr>
          <w:rStyle w:val="Character22"/>
          <w:sz w:val="24"/>
          <w:szCs w:val="24"/>
        </w:rPr>
        <w:t xml:space="preserve">on Educational Outcomes (CREDO) at Stanford University, covering more </w:t>
      </w:r>
      <w:r>
        <w:rPr>
          <w:rStyle w:val="Character22"/>
          <w:sz w:val="24"/>
          <w:szCs w:val="24"/>
        </w:rPr>
        <w:t xml:space="preserve">than 70% of the students of </w:t>
      </w:r>
      <w:r>
        <w:rPr>
          <w:rStyle w:val="Character19"/>
          <w:sz w:val="24"/>
          <w:szCs w:val="24"/>
        </w:rPr>
        <w:t>Charter</w:t>
      </w:r>
      <w:r>
        <w:rPr>
          <w:rStyle w:val="Character22"/>
          <w:sz w:val="24"/>
          <w:szCs w:val="24"/>
        </w:rPr>
        <w:t xml:space="preserve"> </w:t>
      </w:r>
      <w:r>
        <w:rPr>
          <w:rStyle w:val="Character19"/>
          <w:sz w:val="24"/>
          <w:szCs w:val="24"/>
        </w:rPr>
        <w:t>Schools</w:t>
      </w:r>
      <w:r>
        <w:rPr>
          <w:rStyle w:val="Character22"/>
          <w:sz w:val="24"/>
          <w:szCs w:val="24"/>
        </w:rPr>
        <w:t xml:space="preserve"> in 16  States concluded that </w:t>
      </w:r>
      <w:r>
        <w:rPr>
          <w:rStyle w:val="Character22"/>
          <w:sz w:val="24"/>
          <w:szCs w:val="24"/>
        </w:rPr>
        <w:t xml:space="preserve">students in charter schools are not faring as well as students in traditional </w:t>
      </w:r>
      <w:r>
        <w:rPr>
          <w:rStyle w:val="Character22"/>
          <w:sz w:val="24"/>
          <w:szCs w:val="24"/>
        </w:rPr>
        <w:t xml:space="preserve">public schools.  Student achievement in 37% of the Charter Schools was </w:t>
      </w:r>
      <w:r>
        <w:rPr>
          <w:rStyle w:val="Character22"/>
          <w:sz w:val="24"/>
          <w:szCs w:val="24"/>
        </w:rPr>
        <w:t xml:space="preserve">lower than in public schools. In 17% it was higher, while in 46% there was no </w:t>
      </w:r>
      <w:r>
        <w:rPr>
          <w:rStyle w:val="Character22"/>
          <w:sz w:val="24"/>
          <w:szCs w:val="24"/>
        </w:rPr>
        <w:t xml:space="preserve">significant difference. </w:t>
      </w:r>
    </w:p>
    <w:p>
      <w:pPr>
        <w:pStyle w:val="a3"/>
        <w:sectPr>
          <w:headerReference w:type="default" r:id="rId8"/>
          <w:pgSz w:w="11906" w:h="16838" w:orient="landscape" w:code="9"/>
          <w:pgMar w:top="1440" w:right="1440" w:bottom="1440" w:left="1440" w:header="708" w:footer="992" w:gutter="0"/>
          <w:docGrid w:linePitch="360" w:charSpace="200"/>
        </w:sectPr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19"/>
          <w:sz w:val="24"/>
          <w:szCs w:val="24"/>
        </w:rPr>
        <w:t>Two</w:t>
      </w:r>
      <w:r>
        <w:rPr>
          <w:rStyle w:val="Character22"/>
          <w:sz w:val="24"/>
          <w:szCs w:val="24"/>
        </w:rPr>
        <w:t xml:space="preserve">: Sweden.  Research from that country shows that since the introduction </w:t>
      </w:r>
      <w:r>
        <w:rPr>
          <w:rStyle w:val="Character22"/>
          <w:sz w:val="24"/>
          <w:szCs w:val="24"/>
        </w:rPr>
        <w:t xml:space="preserve">of the so called </w:t>
      </w:r>
      <w:r>
        <w:rPr>
          <w:rStyle w:val="Character19"/>
          <w:sz w:val="24"/>
          <w:szCs w:val="24"/>
        </w:rPr>
        <w:t xml:space="preserve">Free Schools</w:t>
      </w:r>
      <w:r>
        <w:rPr>
          <w:rStyle w:val="Character22"/>
          <w:sz w:val="24"/>
          <w:szCs w:val="24"/>
        </w:rPr>
        <w:t xml:space="preserve">, educational attainment across the Swedish </w:t>
      </w:r>
      <w:r>
        <w:rPr>
          <w:rStyle w:val="Character22"/>
          <w:sz w:val="24"/>
          <w:szCs w:val="24"/>
        </w:rPr>
        <w:t xml:space="preserve">system has declined, while segregation on the basis of students’ social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background and ethnicity is on the rise.  In fact, Sweden lost its leading </w:t>
      </w:r>
      <w:r>
        <w:rPr>
          <w:rStyle w:val="Character22"/>
          <w:sz w:val="24"/>
          <w:szCs w:val="24"/>
        </w:rPr>
        <w:t xml:space="preserve">position on the latest PISA scale as a result of their Free Schools.  The </w:t>
      </w:r>
      <w:r>
        <w:rPr>
          <w:rStyle w:val="Character22"/>
          <w:sz w:val="24"/>
          <w:szCs w:val="24"/>
        </w:rPr>
        <w:t xml:space="preserve">Swedish Education Minister even warned the UK government against plans to </w:t>
      </w:r>
      <w:r>
        <w:rPr>
          <w:rStyle w:val="Character22"/>
          <w:sz w:val="24"/>
          <w:szCs w:val="24"/>
        </w:rPr>
        <w:t xml:space="preserve">follow the Swedish model. They did it anyway.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19"/>
          <w:sz w:val="24"/>
          <w:szCs w:val="24"/>
        </w:rPr>
        <w:t>Three</w:t>
      </w:r>
      <w:r>
        <w:rPr>
          <w:rStyle w:val="Character22"/>
          <w:sz w:val="24"/>
          <w:szCs w:val="24"/>
        </w:rPr>
        <w:t xml:space="preserve">: Last autumn the OECD put out a study concluding that competitive </w:t>
      </w:r>
      <w:r>
        <w:rPr>
          <w:rStyle w:val="Character22"/>
          <w:sz w:val="24"/>
          <w:szCs w:val="24"/>
        </w:rPr>
        <w:t xml:space="preserve">school markets may lead to greater segregation of students with severe </w:t>
      </w:r>
      <w:r>
        <w:rPr>
          <w:rStyle w:val="Character22"/>
          <w:sz w:val="24"/>
          <w:szCs w:val="24"/>
        </w:rPr>
        <w:t xml:space="preserve">effects on education outcomes.  “The highest-performing education systems </w:t>
      </w:r>
      <w:r>
        <w:rPr>
          <w:rStyle w:val="Character22"/>
          <w:sz w:val="24"/>
          <w:szCs w:val="24"/>
        </w:rPr>
        <w:t xml:space="preserve">across the industrialized nations are those that combine quality with equity,” </w:t>
      </w:r>
      <w:r>
        <w:rPr>
          <w:rStyle w:val="Character22"/>
          <w:sz w:val="24"/>
          <w:szCs w:val="24"/>
        </w:rPr>
        <w:t xml:space="preserve">according to the OECD.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Colleagues, the simplistic transfer of ideas from the corporate world will not </w:t>
      </w:r>
      <w:r>
        <w:rPr>
          <w:rStyle w:val="Character22"/>
          <w:sz w:val="24"/>
          <w:szCs w:val="24"/>
        </w:rPr>
        <w:t xml:space="preserve">advance the quality of our school systems. The idea that you can somehow </w:t>
      </w:r>
      <w:r>
        <w:rPr>
          <w:rStyle w:val="Character22"/>
          <w:sz w:val="24"/>
          <w:szCs w:val="24"/>
        </w:rPr>
        <w:t xml:space="preserve">improve quality by introducing standardized testing, league tables and </w:t>
      </w:r>
      <w:r>
        <w:rPr>
          <w:rStyle w:val="Character22"/>
          <w:sz w:val="24"/>
          <w:szCs w:val="24"/>
        </w:rPr>
        <w:t xml:space="preserve">performance pay, by ranking schools, by measurement, is wishful thinking. It </w:t>
      </w:r>
      <w:r>
        <w:rPr>
          <w:rStyle w:val="Character22"/>
          <w:sz w:val="24"/>
          <w:szCs w:val="24"/>
        </w:rPr>
        <w:t xml:space="preserve">does not work. What it definitely will do is generating angry teachers, </w:t>
      </w:r>
      <w:r>
        <w:rPr>
          <w:rStyle w:val="Character22"/>
          <w:sz w:val="24"/>
          <w:szCs w:val="24"/>
        </w:rPr>
        <w:t xml:space="preserve">frustrated principals and lots of paper work.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Colleagues, it is not so complicated: Boosting education quality nation-wide </w:t>
      </w:r>
      <w:r>
        <w:rPr>
          <w:rStyle w:val="Character22"/>
          <w:sz w:val="24"/>
          <w:szCs w:val="24"/>
        </w:rPr>
        <w:t xml:space="preserve">simply requires a massive investment in the entire teaching profession, in the </w:t>
      </w:r>
      <w:r>
        <w:rPr>
          <w:rStyle w:val="Character22"/>
          <w:sz w:val="24"/>
          <w:szCs w:val="24"/>
        </w:rPr>
        <w:t xml:space="preserve">initial training of teachers, in their professional development, and, yes, also in </w:t>
      </w:r>
      <w:r>
        <w:rPr>
          <w:rStyle w:val="Character22"/>
          <w:sz w:val="24"/>
          <w:szCs w:val="24"/>
        </w:rPr>
        <w:t xml:space="preserve">their pay and employment conditions.  There is no way around this reality and </w:t>
      </w:r>
      <w:r>
        <w:rPr>
          <w:rStyle w:val="Character22"/>
          <w:sz w:val="24"/>
          <w:szCs w:val="24"/>
        </w:rPr>
        <w:t xml:space="preserve">there are no short cuts, such as performance pay based on student outcomes.  </w:t>
      </w:r>
      <w:r>
        <w:rPr>
          <w:rStyle w:val="Character22"/>
          <w:sz w:val="24"/>
          <w:szCs w:val="24"/>
        </w:rPr>
        <w:t xml:space="preserve">Mind you, there is no evidence whatsoever that individual performance pay </w:t>
      </w:r>
      <w:r>
        <w:rPr>
          <w:rStyle w:val="Character22"/>
          <w:sz w:val="24"/>
          <w:szCs w:val="24"/>
        </w:rPr>
        <w:t xml:space="preserve">raises professional standards.  What it does raise is anxiety and turmoil in </w:t>
      </w:r>
      <w:r>
        <w:rPr>
          <w:rStyle w:val="Character22"/>
          <w:sz w:val="24"/>
          <w:szCs w:val="24"/>
        </w:rPr>
        <w:t xml:space="preserve">teachers’ staff rooms.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This brings me to the state of our profession.  In a market driven, competitive </w:t>
      </w:r>
      <w:r>
        <w:rPr>
          <w:rStyle w:val="Character22"/>
          <w:sz w:val="24"/>
          <w:szCs w:val="24"/>
        </w:rPr>
        <w:t xml:space="preserve">world, school leaders are at risk of being transformed from educational </w:t>
      </w:r>
      <w:r>
        <w:rPr>
          <w:rStyle w:val="Character22"/>
          <w:sz w:val="24"/>
          <w:szCs w:val="24"/>
        </w:rPr>
        <w:t xml:space="preserve">leaders to managers, and teachers work is at risk of being changed radically </w:t>
      </w:r>
      <w:r>
        <w:rPr>
          <w:rStyle w:val="Character22"/>
          <w:sz w:val="24"/>
          <w:szCs w:val="24"/>
        </w:rPr>
        <w:t xml:space="preserve">as they are forced to prioritise high stakes tests in the name of ‘accountability’.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We do accept the concept of accountability.  We too want quality education.  </w:t>
      </w:r>
      <w:r>
        <w:rPr>
          <w:rStyle w:val="Character22"/>
          <w:sz w:val="24"/>
          <w:szCs w:val="24"/>
        </w:rPr>
        <w:t xml:space="preserve">We are committed to keeping up the highest professional standards.  And yes, </w:t>
      </w:r>
      <w:r>
        <w:rPr>
          <w:rStyle w:val="Character22"/>
          <w:sz w:val="24"/>
          <w:szCs w:val="24"/>
        </w:rPr>
        <w:t xml:space="preserve">it is natural that there be on-going dialogue between the education unions and </w:t>
      </w:r>
      <w:r>
        <w:rPr>
          <w:rStyle w:val="Character22"/>
          <w:sz w:val="24"/>
          <w:szCs w:val="24"/>
        </w:rPr>
        <w:t xml:space="preserve">the public authorities.  But let us be clear! The starting point for that dialogue </w:t>
      </w:r>
      <w:r>
        <w:rPr>
          <w:rStyle w:val="Character22"/>
          <w:sz w:val="24"/>
          <w:szCs w:val="24"/>
        </w:rPr>
        <w:t xml:space="preserve">must be the recognition of the professional role, the expertise of the educator.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 A couple of words about school leaders.  Throughout history their role has </w:t>
      </w:r>
      <w:r>
        <w:rPr>
          <w:rStyle w:val="Character22"/>
          <w:sz w:val="24"/>
          <w:szCs w:val="24"/>
        </w:rPr>
        <w:t xml:space="preserve">been subject of heated debates.  In the records of a public grammar school in </w:t>
      </w:r>
      <w:r>
        <w:rPr>
          <w:rStyle w:val="Character22"/>
          <w:sz w:val="24"/>
          <w:szCs w:val="24"/>
        </w:rPr>
        <w:t xml:space="preserve">the Netherlands, governed by the city council of Nijmegen since that school </w:t>
      </w:r>
      <w:r>
        <w:rPr>
          <w:rStyle w:val="Character22"/>
          <w:sz w:val="24"/>
          <w:szCs w:val="24"/>
        </w:rPr>
        <w:t xml:space="preserve">was established in the year 1540, I came across the minutes of a council </w:t>
      </w:r>
      <w:r>
        <w:rPr>
          <w:rStyle w:val="Character22"/>
          <w:sz w:val="24"/>
          <w:szCs w:val="24"/>
        </w:rPr>
        <w:t xml:space="preserve">meeting of January 1703 and I learned that until that year the teachers were </w:t>
      </w:r>
      <w:r>
        <w:rPr>
          <w:rStyle w:val="Character22"/>
          <w:sz w:val="24"/>
          <w:szCs w:val="24"/>
        </w:rPr>
        <w:t xml:space="preserve">carrying swords.  Apparently there had been skirmishes at the school, and the </w:t>
      </w:r>
      <w:r>
        <w:rPr>
          <w:rStyle w:val="Character22"/>
          <w:sz w:val="24"/>
          <w:szCs w:val="24"/>
        </w:rPr>
        <w:t xml:space="preserve">Council therefore decided that henceforth “the teacher shall be provided with </w:t>
      </w:r>
      <w:r>
        <w:rPr>
          <w:rStyle w:val="Character22"/>
          <w:sz w:val="24"/>
          <w:szCs w:val="24"/>
        </w:rPr>
        <w:t xml:space="preserve">a gown and a cane to give themselves bearing”, but that they should leave </w:t>
      </w:r>
      <w:r>
        <w:rPr>
          <w:rStyle w:val="Character22"/>
          <w:sz w:val="24"/>
          <w:szCs w:val="24"/>
        </w:rPr>
        <w:t xml:space="preserve">their weapons at home.   Obviously, and you will appreciate this, the principal </w:t>
      </w:r>
      <w:r>
        <w:rPr>
          <w:rStyle w:val="Character22"/>
          <w:sz w:val="24"/>
          <w:szCs w:val="24"/>
        </w:rPr>
        <w:t xml:space="preserve">was exempted from this decree. He could keep his sword. </w:t>
      </w:r>
    </w:p>
    <w:p>
      <w:pPr>
        <w:pStyle w:val="a3"/>
        <w:sectPr>
          <w:headerReference w:type="default" r:id="rId9"/>
          <w:pgSz w:w="11906" w:h="16838" w:orient="landscape" w:code="9"/>
          <w:pgMar w:top="1440" w:right="1440" w:bottom="1440" w:left="1440" w:header="708" w:footer="992" w:gutter="0"/>
          <w:docGrid w:linePitch="360" w:charSpace="200"/>
        </w:sectPr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Running a place of learning is not the same as running a boarding house, an </w:t>
      </w:r>
      <w:r>
        <w:rPr>
          <w:rStyle w:val="Character22"/>
          <w:sz w:val="24"/>
          <w:szCs w:val="24"/>
        </w:rPr>
        <w:t xml:space="preserve">office, a bank, a clinic or a penitentiary (even if sometimes it appears that it is </w:t>
      </w:r>
      <w:r>
        <w:rPr>
          <w:rStyle w:val="Character22"/>
          <w:sz w:val="24"/>
          <w:szCs w:val="24"/>
        </w:rPr>
        <w:t xml:space="preserve">all of these at the same time). It is very unfortunate that in a number of </w:t>
      </w:r>
      <w:r>
        <w:rPr>
          <w:rStyle w:val="Character22"/>
          <w:sz w:val="24"/>
          <w:szCs w:val="24"/>
        </w:rPr>
        <w:t xml:space="preserve">countries the principal has transformed into an administrator with limited .  I </w:t>
      </w:r>
      <w:r>
        <w:rPr>
          <w:rStyle w:val="Character22"/>
          <w:sz w:val="24"/>
          <w:szCs w:val="24"/>
        </w:rPr>
        <w:t xml:space="preserve">am of the opinion that the principal, ideally, is a teacher, the first among </w:t>
      </w:r>
      <w:r>
        <w:rPr>
          <w:rStyle w:val="Character22"/>
          <w:sz w:val="24"/>
          <w:szCs w:val="24"/>
        </w:rPr>
        <w:t xml:space="preserve">equals, who leads the education process and the school community.  And let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me add that as professional leaders they belong, together with their teachers, </w:t>
      </w:r>
      <w:r>
        <w:rPr>
          <w:rStyle w:val="Character22"/>
          <w:sz w:val="24"/>
          <w:szCs w:val="24"/>
        </w:rPr>
        <w:t xml:space="preserve">in the same education union.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Colleagues, friends - A key characteristic of a profession, any profession, is </w:t>
      </w:r>
      <w:r>
        <w:rPr>
          <w:rStyle w:val="Character22"/>
          <w:sz w:val="24"/>
          <w:szCs w:val="24"/>
        </w:rPr>
        <w:t xml:space="preserve">that its standards, principles and objectives are determined by its members.  </w:t>
      </w:r>
      <w:r>
        <w:rPr>
          <w:rStyle w:val="Character22"/>
          <w:sz w:val="24"/>
          <w:szCs w:val="24"/>
        </w:rPr>
        <w:t xml:space="preserve">Doctors, architects, lawyers, to give some examples, set their own </w:t>
      </w:r>
      <w:r>
        <w:rPr>
          <w:rStyle w:val="Character22"/>
          <w:sz w:val="24"/>
          <w:szCs w:val="24"/>
        </w:rPr>
        <w:t xml:space="preserve">professional standards, within legal frameworks defined by the public </w:t>
      </w:r>
      <w:r>
        <w:rPr>
          <w:rStyle w:val="Character22"/>
          <w:sz w:val="24"/>
          <w:szCs w:val="24"/>
        </w:rPr>
        <w:t xml:space="preserve">authorities.  But we, teachers, educators, seem to be gradually losing our </w:t>
      </w:r>
      <w:r>
        <w:rPr>
          <w:rStyle w:val="Character22"/>
          <w:sz w:val="24"/>
          <w:szCs w:val="24"/>
        </w:rPr>
        <w:t xml:space="preserve">identity as, what Jacques Delors, former Head of the European Commission, </w:t>
      </w:r>
      <w:r>
        <w:rPr>
          <w:rStyle w:val="Character22"/>
          <w:sz w:val="24"/>
          <w:szCs w:val="24"/>
        </w:rPr>
        <w:t xml:space="preserve">once called, the noblest of professions.  I put the question to the delegates to </w:t>
      </w:r>
      <w:r>
        <w:rPr>
          <w:rStyle w:val="Character22"/>
          <w:sz w:val="24"/>
          <w:szCs w:val="24"/>
        </w:rPr>
        <w:t xml:space="preserve">our World Congress last July and put that same question to you today: Are </w:t>
      </w:r>
      <w:r>
        <w:rPr>
          <w:rStyle w:val="Character22"/>
          <w:sz w:val="24"/>
          <w:szCs w:val="24"/>
        </w:rPr>
        <w:t xml:space="preserve">we being transformed from a teaching profession into a teaching force </w:t>
      </w:r>
      <w:r>
        <w:rPr>
          <w:rStyle w:val="Character22"/>
          <w:sz w:val="24"/>
          <w:szCs w:val="24"/>
        </w:rPr>
        <w:t xml:space="preserve">directed by strict marching orders?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Colleagues, de-professionalization is, I believe, one of the main challenges </w:t>
      </w:r>
      <w:r>
        <w:rPr>
          <w:rStyle w:val="Character22"/>
          <w:sz w:val="24"/>
          <w:szCs w:val="24"/>
        </w:rPr>
        <w:t xml:space="preserve">facing our sector today.  [The writing is on the wall).  There are seven signs, </w:t>
      </w:r>
      <w:r>
        <w:rPr>
          <w:rStyle w:val="Character22"/>
          <w:sz w:val="24"/>
          <w:szCs w:val="24"/>
        </w:rPr>
        <w:t xml:space="preserve">signals, or perhaps I should say “plagues”, which pose a serious threat to the </w:t>
      </w:r>
      <w:r>
        <w:rPr>
          <w:rStyle w:val="Character22"/>
          <w:sz w:val="24"/>
          <w:szCs w:val="24"/>
        </w:rPr>
        <w:t xml:space="preserve">future of our profession and its capacity to ensure high quality teaching.  </w:t>
      </w:r>
      <w:r>
        <w:rPr>
          <w:rStyle w:val="Character22"/>
          <w:sz w:val="24"/>
          <w:szCs w:val="24"/>
        </w:rPr>
        <w:t xml:space="preserve">Number one: the influx of unqualified teachers; number two: the casualization </w:t>
      </w:r>
      <w:r>
        <w:rPr>
          <w:rStyle w:val="Character22"/>
          <w:sz w:val="24"/>
          <w:szCs w:val="24"/>
        </w:rPr>
        <w:t xml:space="preserve">of teaching; ; number three: the growing gap between teachers’ pay and </w:t>
      </w:r>
      <w:r>
        <w:rPr>
          <w:rStyle w:val="Character22"/>
          <w:sz w:val="24"/>
          <w:szCs w:val="24"/>
        </w:rPr>
        <w:t xml:space="preserve">remuneration in other sectors; number four: the restriction of teachers’ </w:t>
      </w:r>
      <w:r>
        <w:rPr>
          <w:rStyle w:val="Character22"/>
          <w:sz w:val="24"/>
          <w:szCs w:val="24"/>
        </w:rPr>
        <w:t xml:space="preserve">autonomy; number five: the rapid spread of standardized testing; number six: </w:t>
      </w:r>
      <w:r>
        <w:rPr>
          <w:rStyle w:val="Character22"/>
          <w:sz w:val="24"/>
          <w:szCs w:val="24"/>
        </w:rPr>
        <w:t xml:space="preserve">(mechanistic forms of) high stake teachers’ evaluation; and number seven: </w:t>
      </w:r>
      <w:r>
        <w:rPr>
          <w:rStyle w:val="Character22"/>
          <w:sz w:val="24"/>
          <w:szCs w:val="24"/>
        </w:rPr>
        <w:t xml:space="preserve">private sector management practices sneaking into our educational </w:t>
      </w:r>
      <w:r>
        <w:rPr>
          <w:rStyle w:val="Character22"/>
          <w:sz w:val="24"/>
          <w:szCs w:val="24"/>
        </w:rPr>
        <w:t xml:space="preserve">institutions.It all points in the same direction, conveying one troublesome </w:t>
      </w:r>
      <w:r>
        <w:rPr>
          <w:rStyle w:val="Character22"/>
          <w:sz w:val="24"/>
          <w:szCs w:val="24"/>
        </w:rPr>
        <w:t xml:space="preserve">message: Education Is Too Important To Leave  To Teachers.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These ideas, colleagues, and de-professionalization in general,  seem once </w:t>
      </w:r>
      <w:r>
        <w:rPr>
          <w:rStyle w:val="Character22"/>
          <w:sz w:val="24"/>
          <w:szCs w:val="24"/>
        </w:rPr>
        <w:t xml:space="preserve">again first and foremost driven by economic, financial and political concerns </w:t>
      </w:r>
      <w:r>
        <w:rPr>
          <w:rStyle w:val="Character22"/>
          <w:sz w:val="24"/>
          <w:szCs w:val="24"/>
        </w:rPr>
        <w:t xml:space="preserve">and not by any understanding of what teaching and education is all about.   </w:t>
      </w:r>
      <w:r>
        <w:rPr>
          <w:rStyle w:val="Character22"/>
          <w:sz w:val="24"/>
          <w:szCs w:val="24"/>
        </w:rPr>
        <w:t xml:space="preserve">As Mary Futrell, one of our Founding Presidents put it so well: “When the </w:t>
      </w:r>
      <w:r>
        <w:rPr>
          <w:rStyle w:val="Character22"/>
          <w:sz w:val="24"/>
          <w:szCs w:val="24"/>
        </w:rPr>
        <w:t xml:space="preserve">untapped potential of a child meets the creative imagination of a teacher, a </w:t>
      </w:r>
      <w:r>
        <w:rPr>
          <w:rStyle w:val="Character22"/>
          <w:sz w:val="24"/>
          <w:szCs w:val="24"/>
        </w:rPr>
        <w:t xml:space="preserve">miracle occurs.”  Yes, a miracle, and let me tell you, that every single teacher </w:t>
      </w:r>
      <w:r>
        <w:rPr>
          <w:rStyle w:val="Character22"/>
          <w:sz w:val="24"/>
          <w:szCs w:val="24"/>
        </w:rPr>
        <w:t xml:space="preserve">on this planet experiences that Miracle.  It is the source, if you will, of our </w:t>
      </w:r>
      <w:r>
        <w:rPr>
          <w:rStyle w:val="Character22"/>
          <w:sz w:val="24"/>
          <w:szCs w:val="24"/>
        </w:rPr>
        <w:t xml:space="preserve">passion.  But sure, economists and many politicians are horrified, because </w:t>
      </w:r>
      <w:r>
        <w:rPr>
          <w:rStyle w:val="Character22"/>
          <w:sz w:val="24"/>
          <w:szCs w:val="24"/>
        </w:rPr>
        <w:t xml:space="preserve">miracles cannot be measured.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So if at this occasion I were to propose a thesis it would be that teachers must </w:t>
      </w:r>
      <w:r>
        <w:rPr>
          <w:rStyle w:val="Character22"/>
          <w:sz w:val="24"/>
          <w:szCs w:val="24"/>
        </w:rPr>
        <w:t xml:space="preserve">regain control over their profession, and that we, education unions, must </w:t>
      </w:r>
      <w:r>
        <w:rPr>
          <w:rStyle w:val="Character22"/>
          <w:sz w:val="24"/>
          <w:szCs w:val="24"/>
        </w:rPr>
        <w:t xml:space="preserve">reinforce our role as the profession’s guardians.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And for those who may have doubts, let me say this: There is no contradiction </w:t>
      </w:r>
      <w:r>
        <w:rPr>
          <w:rStyle w:val="Character22"/>
          <w:sz w:val="24"/>
          <w:szCs w:val="24"/>
        </w:rPr>
        <w:t xml:space="preserve">between our trade union and professional aspirations.   They are </w:t>
      </w:r>
      <w:r>
        <w:rPr>
          <w:rStyle w:val="Character22"/>
          <w:sz w:val="24"/>
          <w:szCs w:val="24"/>
        </w:rPr>
        <w:t xml:space="preserve">complementary.  Learning conditions and working conditions are inextricably </w:t>
      </w:r>
      <w:r>
        <w:rPr>
          <w:rStyle w:val="Character22"/>
          <w:sz w:val="24"/>
          <w:szCs w:val="24"/>
        </w:rPr>
        <w:t xml:space="preserve">linked.  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All the evidence is that education is not only vitally important for economic </w:t>
      </w:r>
      <w:r>
        <w:rPr>
          <w:rStyle w:val="Character22"/>
          <w:sz w:val="24"/>
          <w:szCs w:val="24"/>
        </w:rPr>
        <w:t xml:space="preserve">security but for social cohesion. Education International will make the </w:t>
      </w:r>
      <w:r>
        <w:rPr>
          <w:rStyle w:val="Character22"/>
          <w:sz w:val="24"/>
          <w:szCs w:val="24"/>
        </w:rPr>
        <w:t xml:space="preserve">arguments for education as a public service in all forums- in every country </w:t>
      </w:r>
      <w:r>
        <w:rPr>
          <w:rStyle w:val="Character22"/>
          <w:sz w:val="24"/>
          <w:szCs w:val="24"/>
        </w:rPr>
        <w:t xml:space="preserve">and in every global organisation whether it is UNESCO, the International </w:t>
      </w:r>
      <w:r>
        <w:rPr>
          <w:rStyle w:val="Character22"/>
          <w:sz w:val="24"/>
          <w:szCs w:val="24"/>
        </w:rPr>
        <w:t xml:space="preserve">Labour Organisation, the World Bank, the World Economic Forum or indeed </w:t>
      </w:r>
      <w:r>
        <w:rPr>
          <w:rStyle w:val="Character22"/>
          <w:sz w:val="24"/>
          <w:szCs w:val="24"/>
        </w:rPr>
        <w:t xml:space="preserve">in the OECD. </w:t>
      </w:r>
    </w:p>
    <w:p>
      <w:pPr>
        <w:pStyle w:val="a3"/>
        <w:sectPr>
          <w:headerReference w:type="default" r:id="rId10"/>
          <w:pgSz w:w="11906" w:h="16838" w:orient="landscape" w:code="9"/>
          <w:pgMar w:top="1440" w:right="1440" w:bottom="1440" w:left="1440" w:header="708" w:footer="992" w:gutter="0"/>
          <w:docGrid w:linePitch="360" w:charSpace="200"/>
        </w:sectPr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Agreement and disagreement are essential to democratic debate about the </w:t>
      </w:r>
      <w:r>
        <w:rPr>
          <w:rStyle w:val="Character22"/>
          <w:sz w:val="24"/>
          <w:szCs w:val="24"/>
        </w:rPr>
        <w:t xml:space="preserve">future of education. That is why we believe that having a two way dialogue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with the OECD is vitally important. The OECD’s Education Directorate studies </w:t>
      </w:r>
      <w:r>
        <w:rPr>
          <w:rStyle w:val="Character22"/>
          <w:sz w:val="24"/>
          <w:szCs w:val="24"/>
        </w:rPr>
        <w:t xml:space="preserve">and surveys are anxiously followed by governments. We may have concerns </w:t>
      </w:r>
      <w:r>
        <w:rPr>
          <w:rStyle w:val="Character22"/>
          <w:sz w:val="24"/>
          <w:szCs w:val="24"/>
        </w:rPr>
        <w:t xml:space="preserve">about their impact. Indeed we may welcome their policy conclusions.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But whatever our views on the OECD’s policies and research we cannot deny </w:t>
      </w:r>
      <w:r>
        <w:rPr>
          <w:rStyle w:val="Character22"/>
          <w:sz w:val="24"/>
          <w:szCs w:val="24"/>
        </w:rPr>
        <w:t xml:space="preserve">the influence the OECD has on our education systems. And there are two </w:t>
      </w:r>
      <w:r>
        <w:rPr>
          <w:rStyle w:val="Character22"/>
          <w:sz w:val="24"/>
          <w:szCs w:val="24"/>
        </w:rPr>
        <w:t xml:space="preserve">crucial areas where we agree with the OECD.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First we both believe that for a country to be socially and economically </w:t>
      </w:r>
      <w:r>
        <w:rPr>
          <w:rStyle w:val="Character22"/>
          <w:sz w:val="24"/>
          <w:szCs w:val="24"/>
        </w:rPr>
        <w:t xml:space="preserve">successful, all its children and young people must receive high quality </w:t>
      </w:r>
      <w:r>
        <w:rPr>
          <w:rStyle w:val="Character22"/>
          <w:sz w:val="24"/>
          <w:szCs w:val="24"/>
        </w:rPr>
        <w:t xml:space="preserve">education. And all of its adult population should be entitled to adult education </w:t>
      </w:r>
      <w:r>
        <w:rPr>
          <w:rStyle w:val="Character22"/>
          <w:sz w:val="24"/>
          <w:szCs w:val="24"/>
        </w:rPr>
        <w:t xml:space="preserve">and training. 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The second area of agreement is perhaps less obvious. There are some that </w:t>
      </w:r>
      <w:r>
        <w:rPr>
          <w:rStyle w:val="Character22"/>
          <w:sz w:val="24"/>
          <w:szCs w:val="24"/>
        </w:rPr>
        <w:t xml:space="preserve">think that the only way for countries to get out of the economic crisis is by </w:t>
      </w:r>
      <w:r>
        <w:rPr>
          <w:rStyle w:val="Character22"/>
          <w:sz w:val="24"/>
          <w:szCs w:val="24"/>
        </w:rPr>
        <w:t xml:space="preserve">massively deregulating economies- to remove protections and social support </w:t>
      </w:r>
      <w:r>
        <w:rPr>
          <w:rStyle w:val="Character22"/>
          <w:sz w:val="24"/>
          <w:szCs w:val="24"/>
        </w:rPr>
        <w:t xml:space="preserve">and thereby increase inequalities. With its emphasis on the need for </w:t>
      </w:r>
      <w:r>
        <w:rPr>
          <w:rStyle w:val="Character22"/>
          <w:sz w:val="24"/>
          <w:szCs w:val="24"/>
        </w:rPr>
        <w:t xml:space="preserve">transparent economic governance, on high quality education for all and on the </w:t>
      </w:r>
      <w:r>
        <w:rPr>
          <w:rStyle w:val="Character22"/>
          <w:sz w:val="24"/>
          <w:szCs w:val="24"/>
        </w:rPr>
        <w:t xml:space="preserve">importance of consultation with employees, I don’t believe that the OECD is in </w:t>
      </w:r>
      <w:r>
        <w:rPr>
          <w:rStyle w:val="Character22"/>
          <w:sz w:val="24"/>
          <w:szCs w:val="24"/>
        </w:rPr>
        <w:t xml:space="preserve">their camp.</w:t>
      </w:r>
    </w:p>
    <w:p>
      <w:pPr>
        <w:pStyle w:val="a3"/>
        <w:numPr>
          <w:ilvl w:val="0"/>
          <w:numId w:val="1"/>
        </w:numPr>
        <w:jc w:val="left"/>
        <w:spacing w:line="248" w:lineRule="auto"/>
        <w:ind w:left="760" w:hanging="400"/>
        <w:tabs>
          <w:tab w:val="left" w:pos="567"/>
        </w:tabs>
        <w:rPr>
          <w:sz w:val="24"/>
          <w:szCs w:val="24"/>
        </w:rPr>
      </w:pPr>
      <w:r>
        <w:rPr>
          <w:rStyle w:val="Character22"/>
          <w:sz w:val="24"/>
          <w:szCs w:val="24"/>
        </w:rPr>
        <w:t xml:space="preserve">Conference, we are at a pivotal time for the future of education. We must not </w:t>
      </w:r>
      <w:r>
        <w:rPr>
          <w:rStyle w:val="Character22"/>
          <w:sz w:val="24"/>
          <w:szCs w:val="24"/>
        </w:rPr>
        <w:t xml:space="preserve">let education slip away as a top priority for governments. It is our job to keep </w:t>
      </w:r>
      <w:r>
        <w:rPr>
          <w:rStyle w:val="Character22"/>
          <w:sz w:val="24"/>
          <w:szCs w:val="24"/>
        </w:rPr>
        <w:t xml:space="preserve">pressing the core message that without properly resourced high quality </w:t>
      </w:r>
      <w:r>
        <w:rPr>
          <w:rStyle w:val="Character22"/>
          <w:sz w:val="24"/>
          <w:szCs w:val="24"/>
        </w:rPr>
        <w:t xml:space="preserve">education for all, society itself will be fundamentally damaged.</w:t>
      </w:r>
    </w:p>
    <w:sectPr>
      <w:headerReference w:type="default" r:id="rId11"/>
      <w:pgSz w:w="11906" w:h="16838" w:orient="landscape" w:code="9"/>
      <w:pgMar w:top="1440" w:right="1440" w:bottom="1440" w:left="1440" w:header="708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680"/>
        <w:tab w:val="right" w:pos="9360"/>
      </w:tabs>
      <w:rPr>
        <w:b/>
        <w:sz w:val="32"/>
        <w:szCs w:val="32"/>
        <w:rFonts w:ascii="Calibri" w:eastAsia="Calibri" w:hAnsi="Calibri"/>
      </w:rPr>
    </w:pPr>
    <w:r>
      <w:rPr>
        <w:rStyle w:val="Character2"/>
        <w:sz w:val="32"/>
        <w:szCs w:val="32"/>
      </w:rPr>
      <w:fldChar w:fldCharType="begin"/>
    </w:r>
    <w:r>
      <w:rPr>
        <w:rStyle w:val="Character2"/>
        <w:sz w:val="32"/>
        <w:szCs w:val="32"/>
      </w:rPr>
      <w:instrText xml:space="preserve">PAGE</w:instrText>
    </w:r>
    <w:r>
      <w:rPr>
        <w:rStyle w:val="Character2"/>
        <w:sz w:val="32"/>
        <w:szCs w:val="32"/>
      </w:rPr>
      <w:fldChar w:fldCharType="separate"/>
    </w:r>
    <w:r>
      <w:rPr>
        <w:rStyle w:val="Character2"/>
        <w:sz w:val="32"/>
        <w:szCs w:val="32"/>
      </w:rPr>
      <w:fldChar w:fldCharType="end"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680"/>
        <w:tab w:val="right" w:pos="9360"/>
      </w:tabs>
      <w:rPr>
        <w:b/>
        <w:sz w:val="32"/>
        <w:szCs w:val="32"/>
        <w:rFonts w:ascii="Calibri" w:eastAsia="Calibri" w:hAnsi="Calibri"/>
      </w:rPr>
    </w:pPr>
    <w:r>
      <w:rPr>
        <w:rStyle w:val="Character2"/>
        <w:sz w:val="32"/>
        <w:szCs w:val="32"/>
      </w:rPr>
      <w:fldChar w:fldCharType="begin"/>
    </w:r>
    <w:r>
      <w:rPr>
        <w:rStyle w:val="Character2"/>
        <w:sz w:val="32"/>
        <w:szCs w:val="32"/>
      </w:rPr>
      <w:instrText xml:space="preserve">PAGE</w:instrText>
    </w:r>
    <w:r>
      <w:rPr>
        <w:rStyle w:val="Character2"/>
        <w:sz w:val="32"/>
        <w:szCs w:val="32"/>
      </w:rPr>
      <w:fldChar w:fldCharType="separate"/>
    </w:r>
    <w:r>
      <w:rPr>
        <w:rStyle w:val="Character2"/>
        <w:sz w:val="32"/>
        <w:szCs w:val="32"/>
      </w:rPr>
      <w:fldChar w:fldCharType="end"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680"/>
        <w:tab w:val="right" w:pos="9360"/>
      </w:tabs>
      <w:rPr>
        <w:b/>
        <w:sz w:val="32"/>
        <w:szCs w:val="32"/>
        <w:rFonts w:ascii="Calibri" w:eastAsia="Calibri" w:hAnsi="Calibri"/>
      </w:rPr>
    </w:pPr>
    <w:r>
      <w:rPr>
        <w:rStyle w:val="Character2"/>
        <w:sz w:val="32"/>
        <w:szCs w:val="32"/>
      </w:rPr>
      <w:fldChar w:fldCharType="begin"/>
    </w:r>
    <w:r>
      <w:rPr>
        <w:rStyle w:val="Character2"/>
        <w:sz w:val="32"/>
        <w:szCs w:val="32"/>
      </w:rPr>
      <w:instrText xml:space="preserve">PAGE</w:instrText>
    </w:r>
    <w:r>
      <w:rPr>
        <w:rStyle w:val="Character2"/>
        <w:sz w:val="32"/>
        <w:szCs w:val="32"/>
      </w:rPr>
      <w:fldChar w:fldCharType="separate"/>
    </w:r>
    <w:r>
      <w:rPr>
        <w:rStyle w:val="Character2"/>
        <w:sz w:val="32"/>
        <w:szCs w:val="32"/>
      </w:rPr>
      <w:fldChar w:fldCharType="end"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680"/>
        <w:tab w:val="right" w:pos="9360"/>
      </w:tabs>
      <w:rPr>
        <w:b/>
        <w:sz w:val="32"/>
        <w:szCs w:val="32"/>
        <w:rFonts w:ascii="Calibri" w:eastAsia="Calibri" w:hAnsi="Calibri"/>
      </w:rPr>
    </w:pPr>
    <w:r>
      <w:rPr>
        <w:rStyle w:val="Character2"/>
        <w:sz w:val="32"/>
        <w:szCs w:val="32"/>
      </w:rPr>
      <w:fldChar w:fldCharType="begin"/>
    </w:r>
    <w:r>
      <w:rPr>
        <w:rStyle w:val="Character2"/>
        <w:sz w:val="32"/>
        <w:szCs w:val="32"/>
      </w:rPr>
      <w:instrText xml:space="preserve">PAGE</w:instrText>
    </w:r>
    <w:r>
      <w:rPr>
        <w:rStyle w:val="Character2"/>
        <w:sz w:val="32"/>
        <w:szCs w:val="32"/>
      </w:rPr>
      <w:fldChar w:fldCharType="separate"/>
    </w:r>
    <w:r>
      <w:rPr>
        <w:rStyle w:val="Character2"/>
        <w:sz w:val="32"/>
        <w:szCs w:val="32"/>
      </w:rPr>
      <w:fldChar w:fldCharType="end"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680"/>
        <w:tab w:val="right" w:pos="9360"/>
      </w:tabs>
      <w:rPr>
        <w:b/>
        <w:sz w:val="32"/>
        <w:szCs w:val="32"/>
        <w:rFonts w:ascii="Calibri" w:eastAsia="Calibri" w:hAnsi="Calibri"/>
      </w:rPr>
    </w:pPr>
    <w:r>
      <w:rPr>
        <w:rStyle w:val="Character2"/>
        <w:sz w:val="32"/>
        <w:szCs w:val="32"/>
      </w:rPr>
      <w:fldChar w:fldCharType="begin"/>
    </w:r>
    <w:r>
      <w:rPr>
        <w:rStyle w:val="Character2"/>
        <w:sz w:val="32"/>
        <w:szCs w:val="32"/>
      </w:rPr>
      <w:instrText xml:space="preserve">PAGE</w:instrText>
    </w:r>
    <w:r>
      <w:rPr>
        <w:rStyle w:val="Character2"/>
        <w:sz w:val="32"/>
        <w:szCs w:val="32"/>
      </w:rPr>
      <w:fldChar w:fldCharType="separate"/>
    </w:r>
    <w:r>
      <w:rPr>
        <w:rStyle w:val="Character2"/>
        <w:sz w:val="32"/>
        <w:szCs w:val="32"/>
      </w:rPr>
      <w:fldChar w:fldCharType="end"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680"/>
        <w:tab w:val="right" w:pos="9360"/>
      </w:tabs>
      <w:rPr>
        <w:b/>
        <w:sz w:val="32"/>
        <w:szCs w:val="32"/>
        <w:rFonts w:ascii="Calibri" w:eastAsia="Calibri" w:hAnsi="Calibri"/>
      </w:rPr>
    </w:pPr>
    <w:r>
      <w:rPr>
        <w:rStyle w:val="Character2"/>
        <w:sz w:val="32"/>
        <w:szCs w:val="32"/>
      </w:rPr>
      <w:fldChar w:fldCharType="begin"/>
    </w:r>
    <w:r>
      <w:rPr>
        <w:rStyle w:val="Character2"/>
        <w:sz w:val="32"/>
        <w:szCs w:val="32"/>
      </w:rPr>
      <w:instrText xml:space="preserve">PAGE</w:instrText>
    </w:r>
    <w:r>
      <w:rPr>
        <w:rStyle w:val="Character2"/>
        <w:sz w:val="32"/>
        <w:szCs w:val="32"/>
      </w:rPr>
      <w:fldChar w:fldCharType="separate"/>
    </w:r>
    <w:r>
      <w:rPr>
        <w:rStyle w:val="Character2"/>
        <w:sz w:val="32"/>
        <w:szCs w:val="32"/>
      </w:rPr>
      <w:fldChar w:fldCharType="end"/>
    </w:r>
  </w:p>
  <w:p>
    <w:pPr>
      <w:pStyle w:val="Para1"/>
      <w:spacing w:line="240" w:lineRule="auto"/>
      <w:ind w:left="0"/>
      <w:tabs>
        <w:tab w:val="center" w:pos="4680"/>
        <w:tab w:val="right" w:pos="9360"/>
      </w:tabs>
      <w:rPr>
        <w:sz w:val="22"/>
        <w:szCs w:val="22"/>
        <w:rFonts w:ascii="Calibri" w:eastAsia="Calibri" w:hAnsi="Calibri"/>
      </w:rPr>
    </w:pPr>
    <w:r>
      <w:rPr>
        <w:rStyle w:val="Character3"/>
        <w:sz w:val="22"/>
        <w:szCs w:val="22"/>
      </w:rPr>
      <w: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577653149"/>
    <w:lvl w:ilvl="0">
      <w:start w:val="1"/>
      <w:numFmt w:val="decimal"/>
      <w:lvlText w:val="%1."/>
      <w:pPr>
        <w:ind w:left="720" w:hanging="360"/>
      </w:pPr>
      <w:rPr>
        <w:rFonts w:ascii="Verdana" w:eastAsia="Verdana" w:hAnsi="Verdana" w:hint="default"/>
      </w:rPr>
    </w:lvl>
    <w:lvl w:ilvl="1">
      <w:start w:val="1"/>
      <w:numFmt w:val="decimal"/>
      <w:lvlText w:val="%2."/>
      <w:pPr>
        <w:ind w:left="1440" w:hanging="360"/>
      </w:pPr>
      <w:rPr>
        <w:rFonts w:ascii="Verdana" w:eastAsia="Verdana" w:hAnsi="Verdana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Verdana" w:eastAsia="Verdana" w:hAnsi="Verdana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Verdana" w:eastAsia="Verdana" w:hAnsi="Verdana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Verdana" w:eastAsia="Verdana" w:hAnsi="Verdana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Verdana" w:eastAsia="Verdana" w:hAnsi="Verdana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Verdana" w:eastAsia="Verdana" w:hAnsi="Verdana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Verdana" w:eastAsia="Verdana" w:hAnsi="Verdana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Verdana" w:eastAsia="Verdana" w:hAnsi="Verdan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right"/>
      <w:wordWrap w:val="false"/>
      <w:ind w:left="0"/>
      <w:widowControl w:val="false"/>
      <w:tabs>
        <w:tab w:val="center" w:pos="4680"/>
        <w:tab w:val="right" w:pos="9360"/>
      </w:tabs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tabs>
        <w:tab w:val="center" w:pos="4680"/>
        <w:tab w:val="right" w:pos="9360"/>
      </w:tabs>
      <w:rPr/>
    </w:pPr>
  </w:style>
  <w:style w:type="paragraph" w:customStyle="1" w:styleId="Para2">
    <w:name w:val="ParaAttribute2"/>
    <w:pPr>
      <w:spacing w:after="200"/>
      <w:jc w:val="left"/>
      <w:wordWrap w:val="false"/>
      <w:ind w:left="720" w:firstLine="0"/>
      <w:widowControl w:val="false"/>
      <w:rPr/>
    </w:pPr>
  </w:style>
  <w:style w:type="paragraph" w:customStyle="1" w:styleId="Para3">
    <w:name w:val="ParaAttribute3"/>
    <w:pPr>
      <w:spacing w:after="200"/>
      <w:jc w:val="left"/>
      <w:wordWrap w:val="false"/>
      <w:ind w:left="720" w:hanging="36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720" w:firstLine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720" w:hanging="36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720" w:firstLine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720" w:firstLine="0"/>
      <w:widowControl w:val="false"/>
      <w:tabs>
        <w:tab w:val="left" w:pos="567"/>
      </w:tabs>
      <w:rPr/>
    </w:pPr>
  </w:style>
  <w:style w:type="paragraph" w:customStyle="1" w:styleId="Para8">
    <w:name w:val="ParaAttribute8"/>
    <w:pPr>
      <w:jc w:val="left"/>
      <w:wordWrap w:val="false"/>
      <w:ind w:left="720" w:hanging="360"/>
      <w:widowControl w:val="false"/>
      <w:tabs>
        <w:tab w:val="left" w:pos="567"/>
      </w:tabs>
      <w:rPr/>
    </w:pPr>
  </w:style>
  <w:style w:type="paragraph" w:customStyle="1" w:styleId="Para9">
    <w:name w:val="ParaAttribute9"/>
    <w:pPr>
      <w:spacing w:before="280" w:after="280"/>
      <w:jc w:val="left"/>
      <w:wordWrap w:val="false"/>
      <w:ind w:left="720" w:firstLine="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720" w:firstLine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720" w:hanging="360"/>
      <w:widowControl w:val="false"/>
      <w:rPr/>
    </w:pPr>
  </w:style>
  <w:style w:type="paragraph" w:customStyle="1" w:styleId="Para12">
    <w:name w:val="ParaAttribute12"/>
    <w:pPr>
      <w:spacing w:before="280" w:after="280"/>
      <w:jc w:val="left"/>
      <w:wordWrap w:val="false"/>
      <w:ind w:left="270" w:firstLine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760" w:hanging="40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16">
    <w:name w:val="ParaAttribute16"/>
    <w:pPr>
      <w:jc w:val="left"/>
      <w:wordWrap w:val="false"/>
      <w:ind w:left="760" w:hanging="40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810" w:hanging="45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810" w:hanging="450"/>
      <w:widowControl w:val="false"/>
      <w:rPr/>
    </w:pPr>
  </w:style>
  <w:style w:type="paragraph" w:customStyle="1" w:styleId="Para19">
    <w:name w:val="ParaAttribute19"/>
    <w:pPr>
      <w:spacing w:after="200"/>
      <w:jc w:val="left"/>
      <w:wordWrap w:val="false"/>
      <w:ind w:left="360" w:firstLine="0"/>
      <w:widowControl w:val="false"/>
      <w:rPr/>
    </w:pPr>
  </w:style>
  <w:style w:type="paragraph" w:customStyle="1" w:styleId="Para20">
    <w:name w:val="ParaAttribute20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21">
    <w:name w:val="ParaAttribute21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22">
    <w:name w:val="ParaAttribute22"/>
    <w:pPr>
      <w:jc w:val="left"/>
      <w:wordWrap w:val="false"/>
      <w:ind w:left="360" w:firstLine="0"/>
      <w:widowControl w:val="false"/>
      <w:rPr/>
    </w:pPr>
  </w:style>
  <w:style w:type="paragraph" w:customStyle="1" w:styleId="Para23">
    <w:name w:val="ParaAttribute23"/>
    <w:pPr>
      <w:jc w:val="left"/>
      <w:wordWrap w:val="false"/>
      <w:ind w:left="360" w:firstLine="0"/>
      <w:widowControl w:val="false"/>
      <w:rPr/>
    </w:pPr>
  </w:style>
  <w:style w:type="paragraph" w:customStyle="1" w:styleId="Para24">
    <w:name w:val="ParaAttribute24"/>
    <w:pPr>
      <w:jc w:val="left"/>
      <w:wordWrap w:val="false"/>
      <w:ind w:left="360" w:firstLine="0"/>
      <w:widowControl w:val="false"/>
      <w:tabs>
        <w:tab w:val="left" w:pos="567"/>
      </w:tabs>
      <w:rPr/>
    </w:pPr>
  </w:style>
  <w:style w:type="paragraph" w:customStyle="1" w:styleId="Para25">
    <w:name w:val="ParaAttribute25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26">
    <w:name w:val="ParaAttribute26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27">
    <w:name w:val="ParaAttribute27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28">
    <w:name w:val="ParaAttribute28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29">
    <w:name w:val="ParaAttribute29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30">
    <w:name w:val="ParaAttribute30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31">
    <w:name w:val="ParaAttribute31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32">
    <w:name w:val="ParaAttribute32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33">
    <w:name w:val="ParaAttribute33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34">
    <w:name w:val="ParaAttribute34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35">
    <w:name w:val="ParaAttribute35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36">
    <w:name w:val="ParaAttribute36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37">
    <w:name w:val="ParaAttribute37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38">
    <w:name w:val="ParaAttribute38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39">
    <w:name w:val="ParaAttribute39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40">
    <w:name w:val="ParaAttribute40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41">
    <w:name w:val="ParaAttribute41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42">
    <w:name w:val="ParaAttribute42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43">
    <w:name w:val="ParaAttribute43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44">
    <w:name w:val="ParaAttribute44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45">
    <w:name w:val="ParaAttribute45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46">
    <w:name w:val="ParaAttribute46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47">
    <w:name w:val="ParaAttribute47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48">
    <w:name w:val="ParaAttribute48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49">
    <w:name w:val="ParaAttribute49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50">
    <w:name w:val="ParaAttribute50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51">
    <w:name w:val="ParaAttribute51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52">
    <w:name w:val="ParaAttribute52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53">
    <w:name w:val="ParaAttribute53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54">
    <w:name w:val="ParaAttribute54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paragraph" w:customStyle="1" w:styleId="Para55">
    <w:name w:val="ParaAttribute55"/>
    <w:pPr>
      <w:spacing w:before="240" w:after="120"/>
      <w:jc w:val="center"/>
      <w:wordWrap w:val="false"/>
      <w:ind w:left="0"/>
      <w:widowControl w:val="false"/>
      <w:rPr/>
    </w:pPr>
  </w:style>
  <w:style w:type="paragraph" w:customStyle="1" w:styleId="Para56">
    <w:name w:val="ParaAttribute56"/>
    <w:pPr>
      <w:spacing w:after="200"/>
      <w:jc w:val="left"/>
      <w:wordWrap w:val="false"/>
      <w:ind w:left="760" w:hanging="400"/>
      <w:widowControl w:val="false"/>
      <w:rPr/>
    </w:pPr>
  </w:style>
  <w:style w:type="paragraph" w:customStyle="1" w:styleId="Para57">
    <w:name w:val="ParaAttribute57"/>
    <w:pPr>
      <w:jc w:val="left"/>
      <w:wordWrap w:val="false"/>
      <w:ind w:left="760" w:hanging="400"/>
      <w:widowControl w:val="false"/>
      <w:tabs>
        <w:tab w:val="left" w:pos="567"/>
      </w:tabs>
      <w:rPr/>
    </w:pPr>
  </w:style>
  <w:style w:type="character" w:customStyle="1" w:styleId="Character0">
    <w:name w:val="CharAttribute0"/>
    <w:rPr>
      <w:rFonts w:ascii="Calibri" w:eastAsia="Calibri"/>
      <w:b/>
      <w:sz w:val="32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Calibri" w:eastAsia="Calibri"/>
      <w:b/>
      <w:sz w:val="32"/>
    </w:rPr>
  </w:style>
  <w:style w:type="character" w:customStyle="1" w:styleId="Character3">
    <w:name w:val="CharAttribute3"/>
    <w:rPr>
      <w:rFonts w:ascii="Calibri" w:eastAsia="Calibri"/>
      <w:sz w:val="22"/>
    </w:rPr>
  </w:style>
  <w:style w:type="character" w:customStyle="1" w:styleId="Character4">
    <w:name w:val="CharAttribute4"/>
    <w:rPr>
      <w:rFonts w:ascii="Verdana" w:eastAsia="Verdana"/>
      <w:sz w:val="30"/>
    </w:rPr>
  </w:style>
  <w:style w:type="character" w:customStyle="1" w:styleId="Character5">
    <w:name w:val="CharAttribute5"/>
    <w:rPr>
      <w:rFonts w:ascii="Verdana" w:eastAsia="Verdana"/>
      <w:sz w:val="30"/>
    </w:rPr>
  </w:style>
  <w:style w:type="character" w:customStyle="1" w:styleId="Character6">
    <w:name w:val="CharAttribute6"/>
    <w:rPr>
      <w:rFonts w:ascii="Verdana" w:eastAsia="Verdana"/>
      <w:b/>
      <w:sz w:val="30"/>
    </w:rPr>
  </w:style>
  <w:style w:type="character" w:customStyle="1" w:styleId="Character7">
    <w:name w:val="CharAttribute7"/>
    <w:rPr>
      <w:rFonts w:ascii="Calibri" w:eastAsia="Verdana"/>
      <w:sz w:val="30"/>
    </w:rPr>
  </w:style>
  <w:style w:type="character" w:customStyle="1" w:styleId="Character8">
    <w:name w:val="CharAttribute8"/>
    <w:rPr>
      <w:rFonts w:ascii="Calibri" w:eastAsia="Verdana"/>
      <w:sz w:val="30"/>
    </w:rPr>
  </w:style>
  <w:style w:type="character" w:customStyle="1" w:styleId="Character9">
    <w:name w:val="CharAttribute9"/>
    <w:rPr>
      <w:rFonts w:ascii="Calibri" w:eastAsia="Calibri"/>
      <w:b/>
      <w:sz w:val="32"/>
    </w:rPr>
  </w:style>
  <w:style w:type="character" w:customStyle="1" w:styleId="Character10">
    <w:name w:val="CharAttribute10"/>
    <w:rPr>
      <w:rFonts w:ascii="Calibri" w:eastAsia="Verdana"/>
      <w:sz w:val="30"/>
    </w:rPr>
  </w:style>
  <w:style w:type="character" w:customStyle="1" w:styleId="Character11">
    <w:name w:val="CharAttribute11"/>
    <w:rPr>
      <w:rFonts w:ascii="Calibri" w:eastAsia="Verdana"/>
      <w:b/>
      <w:sz w:val="30"/>
    </w:rPr>
  </w:style>
  <w:style w:type="character" w:customStyle="1" w:styleId="Character12">
    <w:name w:val="CharAttribute12"/>
    <w:rPr>
      <w:rFonts w:ascii="Times New Roman" w:eastAsia="Times New Roman"/>
      <w:sz w:val="30"/>
    </w:rPr>
  </w:style>
  <w:style w:type="character" w:customStyle="1" w:styleId="Character13">
    <w:name w:val="CharAttribute13"/>
    <w:rPr>
      <w:rFonts w:ascii="Times New Roman" w:eastAsia="Times New Roman"/>
      <w:b/>
      <w:sz w:val="32"/>
    </w:rPr>
  </w:style>
  <w:style w:type="character" w:customStyle="1" w:styleId="Character14">
    <w:name w:val="CharAttribute14"/>
    <w:rPr>
      <w:rFonts w:ascii="Arial" w:eastAsia="Arial"/>
      <w:b/>
      <w:sz w:val="32"/>
    </w:rPr>
  </w:style>
  <w:style w:type="character" w:customStyle="1" w:styleId="Character15">
    <w:name w:val="CharAttribute15"/>
    <w:rPr>
      <w:rFonts w:ascii="Arial" w:eastAsia="Arial"/>
      <w:sz w:val="30"/>
    </w:rPr>
  </w:style>
  <w:style w:type="character" w:customStyle="1" w:styleId="Character16">
    <w:name w:val="CharAttribute16"/>
    <w:rPr>
      <w:rFonts w:ascii="Arial" w:eastAsia="Arial"/>
      <w:b/>
      <w:sz w:val="30"/>
    </w:rPr>
  </w:style>
  <w:style w:type="character" w:customStyle="1" w:styleId="Character17">
    <w:name w:val="CharAttribute17"/>
    <w:rPr>
      <w:rFonts w:ascii="Arial" w:eastAsia="Arial"/>
      <w:sz w:val="30"/>
    </w:rPr>
  </w:style>
  <w:style w:type="character" w:customStyle="1" w:styleId="Character18">
    <w:name w:val="CharAttribute18"/>
    <w:rPr>
      <w:rFonts w:ascii="Arial" w:eastAsia="Arial"/>
      <w:b/>
      <w:sz w:val="32"/>
    </w:rPr>
  </w:style>
  <w:style w:type="character" w:customStyle="1" w:styleId="Character19">
    <w:name w:val="CharAttribute19"/>
    <w:rPr>
      <w:rFonts w:ascii="Arial" w:eastAsia="Arial"/>
      <w:b/>
      <w:sz w:val="24"/>
    </w:rPr>
  </w:style>
  <w:style w:type="character" w:customStyle="1" w:styleId="Character20">
    <w:name w:val="CharAttribute20"/>
    <w:rPr>
      <w:rFonts w:ascii="Times New Roman" w:eastAsia="Times New Roman"/>
      <w:sz w:val="24"/>
    </w:rPr>
  </w:style>
  <w:style w:type="character" w:customStyle="1" w:styleId="Character21">
    <w:name w:val="CharAttribute21"/>
    <w:rPr>
      <w:rFonts w:ascii="Verdana" w:eastAsia="Verdana"/>
      <w:sz w:val="24"/>
    </w:rPr>
  </w:style>
  <w:style w:type="character" w:customStyle="1" w:styleId="Character22">
    <w:name w:val="CharAttribute22"/>
    <w:rPr>
      <w:rFonts w:ascii="Arial" w:eastAsia="Arial"/>
      <w:sz w:val="24"/>
    </w:rPr>
  </w:style>
  <w:style w:type="character" w:customStyle="1" w:styleId="Character23">
    <w:name w:val="CharAttribute23"/>
    <w:rPr>
      <w:rFonts w:ascii="Calibri" w:eastAsia="Verdana"/>
      <w:sz w:val="24"/>
    </w:rPr>
  </w:style>
  <w:style w:type="character" w:customStyle="1" w:styleId="Character24">
    <w:name w:val="CharAttribute24"/>
    <w:rPr>
      <w:rFonts w:ascii="Arial" w:eastAsia="Arial"/>
      <w:sz w:val="24"/>
    </w:rPr>
  </w:style>
  <w:style w:type="character" w:customStyle="1" w:styleId="Character25">
    <w:name w:val="CharAttribute25"/>
    <w:rPr>
      <w:rFonts w:ascii="Arial" w:eastAsia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webSettings" Target="webSetting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customXml" Target="../customXml/item3.xml"/><Relationship Id="rId10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eader" Target="header4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98642A1D-6DAB-41C5-8EF4-D1B45E966942}"/>
</file>

<file path=customXml/itemProps2.xml><?xml version="1.0" encoding="utf-8"?>
<ds:datastoreItem xmlns:ds="http://schemas.openxmlformats.org/officeDocument/2006/customXml" ds:itemID="{3A83960E-102C-4F37-B2EE-A45801EBFB1B}"/>
</file>

<file path=customXml/itemProps3.xml><?xml version="1.0" encoding="utf-8"?>
<ds:datastoreItem xmlns:ds="http://schemas.openxmlformats.org/officeDocument/2006/customXml" ds:itemID="{E722D264-4AF2-4805-AE73-A8EA0E22FF3F}"/>
</file>

<file path=customXml/itemProps4.xml><?xml version="1.0" encoding="utf-8"?>
<ds:datastoreItem xmlns:ds="http://schemas.openxmlformats.org/officeDocument/2006/customXml" ds:itemID="{D69CD6AF-A70D-4BEF-93E7-5D7DC741A666}"/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

<file path=docProps/custo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