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68" w:rsidRDefault="00A92068" w:rsidP="003E02D6">
      <w:pPr>
        <w:ind w:left="426" w:right="429" w:hanging="426"/>
        <w:jc w:val="center"/>
        <w:rPr>
          <w:rFonts w:ascii="Bookman Old Style" w:eastAsia="MS Gothic" w:hAnsi="Bookman Old Style" w:cs="Narkisim"/>
          <w:b/>
          <w:sz w:val="52"/>
          <w:szCs w:val="52"/>
        </w:rPr>
      </w:pPr>
    </w:p>
    <w:p w:rsidR="00A92068" w:rsidRDefault="00A92068" w:rsidP="003E02D6">
      <w:pPr>
        <w:ind w:left="426" w:right="429" w:hanging="426"/>
        <w:jc w:val="center"/>
        <w:rPr>
          <w:rFonts w:ascii="Bookman Old Style" w:eastAsia="MS Gothic" w:hAnsi="Bookman Old Style" w:cs="Narkisim"/>
          <w:b/>
          <w:sz w:val="52"/>
          <w:szCs w:val="52"/>
        </w:rPr>
      </w:pPr>
    </w:p>
    <w:p w:rsidR="00D06F65" w:rsidRDefault="00D06F65" w:rsidP="003E02D6">
      <w:pPr>
        <w:ind w:left="426" w:right="429" w:hanging="426"/>
        <w:jc w:val="center"/>
        <w:rPr>
          <w:rFonts w:asciiTheme="majorHAnsi" w:eastAsia="MS Gothic" w:hAnsiTheme="majorHAnsi" w:cs="Narkisim"/>
          <w:b/>
          <w:sz w:val="52"/>
          <w:szCs w:val="52"/>
          <w:lang w:val="fr-CA"/>
        </w:rPr>
      </w:pPr>
    </w:p>
    <w:p w:rsidR="004F4D94" w:rsidRPr="00276E79" w:rsidRDefault="00CD7711" w:rsidP="003E02D6">
      <w:pPr>
        <w:ind w:left="426" w:right="429"/>
        <w:jc w:val="center"/>
        <w:rPr>
          <w:rFonts w:asciiTheme="majorHAnsi" w:eastAsia="MS Gothic" w:hAnsiTheme="majorHAnsi" w:cs="Narkisim"/>
          <w:b/>
          <w:sz w:val="72"/>
          <w:szCs w:val="72"/>
          <w:lang w:val="es-ES_tradnl"/>
        </w:rPr>
      </w:pPr>
      <w:r w:rsidRPr="00276E79">
        <w:rPr>
          <w:rFonts w:asciiTheme="majorHAnsi" w:eastAsia="MS Gothic" w:hAnsiTheme="majorHAnsi" w:cs="Narkisim"/>
          <w:b/>
          <w:sz w:val="72"/>
          <w:szCs w:val="72"/>
          <w:lang w:val="es-ES_tradnl"/>
        </w:rPr>
        <w:t xml:space="preserve">Caucus de la </w:t>
      </w:r>
      <w:r w:rsidR="004F4D94" w:rsidRPr="00276E79">
        <w:rPr>
          <w:rFonts w:asciiTheme="majorHAnsi" w:eastAsia="MS Gothic" w:hAnsiTheme="majorHAnsi" w:cs="Narkisim"/>
          <w:b/>
          <w:sz w:val="72"/>
          <w:szCs w:val="72"/>
          <w:lang w:val="es-ES_tradnl"/>
        </w:rPr>
        <w:t>Educ</w:t>
      </w:r>
      <w:r w:rsidR="00097C4A" w:rsidRPr="00276E79">
        <w:rPr>
          <w:rFonts w:asciiTheme="majorHAnsi" w:eastAsia="MS Gothic" w:hAnsiTheme="majorHAnsi" w:cs="Narkisim"/>
          <w:b/>
          <w:sz w:val="72"/>
          <w:szCs w:val="72"/>
          <w:lang w:val="es-ES_tradnl"/>
        </w:rPr>
        <w:t>ación Terciaria y Superior</w:t>
      </w:r>
    </w:p>
    <w:p w:rsidR="006465E3" w:rsidRPr="00276E79" w:rsidRDefault="00A70B04" w:rsidP="003E02D6">
      <w:pPr>
        <w:ind w:left="426" w:right="429"/>
        <w:jc w:val="center"/>
        <w:rPr>
          <w:rFonts w:asciiTheme="majorHAnsi" w:eastAsia="MS Gothic" w:hAnsiTheme="majorHAnsi" w:cs="Narkisim"/>
          <w:b/>
          <w:color w:val="808080" w:themeColor="background1" w:themeShade="80"/>
          <w:sz w:val="40"/>
          <w:szCs w:val="40"/>
          <w:lang w:val="es-ES_tradnl"/>
        </w:rPr>
      </w:pPr>
      <w:r w:rsidRPr="00276E79">
        <w:rPr>
          <w:rFonts w:asciiTheme="majorHAnsi" w:eastAsia="MS Gothic" w:hAnsiTheme="majorHAnsi" w:cs="Narkisim"/>
          <w:b/>
          <w:color w:val="808080" w:themeColor="background1" w:themeShade="80"/>
          <w:sz w:val="40"/>
          <w:szCs w:val="40"/>
          <w:lang w:val="es-ES_tradnl"/>
        </w:rPr>
        <w:t xml:space="preserve">20 </w:t>
      </w:r>
      <w:r w:rsidR="004F4D94" w:rsidRPr="00276E79">
        <w:rPr>
          <w:rFonts w:asciiTheme="majorHAnsi" w:eastAsia="MS Gothic" w:hAnsiTheme="majorHAnsi" w:cs="Narkisim"/>
          <w:b/>
          <w:color w:val="808080" w:themeColor="background1" w:themeShade="80"/>
          <w:sz w:val="40"/>
          <w:szCs w:val="40"/>
          <w:lang w:val="es-ES_tradnl"/>
        </w:rPr>
        <w:t xml:space="preserve">de julio, </w:t>
      </w:r>
      <w:r w:rsidR="00A92068" w:rsidRPr="00276E79">
        <w:rPr>
          <w:rFonts w:asciiTheme="majorHAnsi" w:eastAsia="MS Gothic" w:hAnsiTheme="majorHAnsi" w:cs="Narkisim"/>
          <w:b/>
          <w:color w:val="808080" w:themeColor="background1" w:themeShade="80"/>
          <w:sz w:val="40"/>
          <w:szCs w:val="40"/>
          <w:lang w:val="es-ES_tradnl"/>
        </w:rPr>
        <w:t>2015</w:t>
      </w:r>
    </w:p>
    <w:p w:rsidR="006465E3" w:rsidRDefault="006465E3" w:rsidP="003E02D6">
      <w:pPr>
        <w:ind w:left="426" w:right="429"/>
        <w:jc w:val="center"/>
        <w:rPr>
          <w:rFonts w:asciiTheme="majorHAnsi" w:eastAsia="MS Gothic" w:hAnsiTheme="majorHAnsi" w:cs="Narkisim"/>
          <w:b/>
          <w:color w:val="808080" w:themeColor="background1" w:themeShade="80"/>
          <w:sz w:val="40"/>
          <w:szCs w:val="40"/>
          <w:lang w:val="fr-CA"/>
        </w:rPr>
      </w:pPr>
    </w:p>
    <w:p w:rsidR="006465E3" w:rsidRDefault="006465E3" w:rsidP="003E02D6">
      <w:pPr>
        <w:ind w:left="426" w:right="429"/>
        <w:jc w:val="center"/>
        <w:rPr>
          <w:rFonts w:ascii="Bookman Old Style" w:eastAsia="MS Gothic" w:hAnsi="Bookman Old Style" w:cs="Narkisim"/>
          <w:b/>
          <w:sz w:val="52"/>
          <w:szCs w:val="52"/>
          <w:lang w:val="fr-CA"/>
        </w:rPr>
      </w:pPr>
      <w:r>
        <w:rPr>
          <w:noProof/>
          <w:lang w:eastAsia="en-CA"/>
        </w:rPr>
        <w:drawing>
          <wp:inline distT="0" distB="0" distL="0" distR="0" wp14:anchorId="0967A417" wp14:editId="680EAFDD">
            <wp:extent cx="4404995" cy="3824605"/>
            <wp:effectExtent l="0" t="0" r="0" b="4445"/>
            <wp:docPr id="3" name="Picture 3" descr="C:\Users\robinson\AppData\Local\Microsoft\Windows\Temporary Internet Files\Content.Word\EI7WC_Ottawa_Logo_hr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inson\AppData\Local\Microsoft\Windows\Temporary Internet Files\Content.Word\EI7WC_Ottawa_Logo_hr-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5E3" w:rsidRDefault="006465E3" w:rsidP="003E02D6">
      <w:pPr>
        <w:ind w:left="426" w:right="429"/>
        <w:rPr>
          <w:rFonts w:asciiTheme="majorHAnsi" w:eastAsia="MS Gothic" w:hAnsiTheme="majorHAnsi" w:cs="Narkisim"/>
          <w:b/>
          <w:color w:val="808080" w:themeColor="background1" w:themeShade="80"/>
          <w:sz w:val="44"/>
          <w:szCs w:val="44"/>
          <w:lang w:val="es-ES_tradnl"/>
        </w:rPr>
      </w:pPr>
    </w:p>
    <w:p w:rsidR="00117804" w:rsidRPr="00F820C9" w:rsidRDefault="00F820C9" w:rsidP="003E02D6">
      <w:pPr>
        <w:ind w:left="426" w:right="429"/>
        <w:jc w:val="center"/>
        <w:rPr>
          <w:rFonts w:asciiTheme="majorHAnsi" w:eastAsia="MS Gothic" w:hAnsiTheme="majorHAnsi" w:cs="Narkisim"/>
          <w:b/>
          <w:color w:val="808080" w:themeColor="background1" w:themeShade="80"/>
          <w:sz w:val="44"/>
          <w:szCs w:val="44"/>
          <w:lang w:val="es-ES_tradnl"/>
        </w:rPr>
      </w:pPr>
      <w:r>
        <w:rPr>
          <w:rFonts w:asciiTheme="majorHAnsi" w:eastAsia="MS Gothic" w:hAnsiTheme="majorHAnsi" w:cs="Narkisim"/>
          <w:b/>
          <w:color w:val="808080" w:themeColor="background1" w:themeShade="80"/>
          <w:sz w:val="44"/>
          <w:szCs w:val="44"/>
          <w:lang w:val="es-ES_tradnl"/>
        </w:rPr>
        <w:lastRenderedPageBreak/>
        <w:t>Programa</w:t>
      </w:r>
    </w:p>
    <w:p w:rsidR="00D74A55" w:rsidRPr="00F820C9" w:rsidRDefault="00D74A55" w:rsidP="003E02D6">
      <w:pPr>
        <w:ind w:left="426" w:right="429"/>
        <w:jc w:val="center"/>
        <w:rPr>
          <w:rFonts w:asciiTheme="majorHAnsi" w:eastAsia="MS Gothic" w:hAnsiTheme="majorHAnsi" w:cs="Narkisim"/>
          <w:b/>
          <w:sz w:val="24"/>
          <w:szCs w:val="24"/>
          <w:lang w:val="es-ES_tradnl"/>
        </w:rPr>
      </w:pPr>
    </w:p>
    <w:p w:rsidR="00A92068" w:rsidRPr="00F820C9" w:rsidRDefault="00385C98" w:rsidP="003E02D6">
      <w:pPr>
        <w:ind w:left="426" w:right="429"/>
        <w:rPr>
          <w:rFonts w:asciiTheme="majorHAnsi" w:eastAsia="MS Gothic" w:hAnsiTheme="majorHAnsi" w:cs="Narkisim"/>
          <w:b/>
          <w:lang w:val="es-ES_tradnl"/>
        </w:rPr>
      </w:pPr>
      <w:r w:rsidRPr="00F820C9">
        <w:rPr>
          <w:rFonts w:asciiTheme="majorHAnsi" w:eastAsia="MS Gothic" w:hAnsiTheme="majorHAnsi" w:cs="Narkisim"/>
          <w:b/>
          <w:lang w:val="es-ES_tradnl"/>
        </w:rPr>
        <w:t>09:00 – 09:30</w:t>
      </w:r>
      <w:r w:rsidRPr="00F820C9">
        <w:rPr>
          <w:rFonts w:asciiTheme="majorHAnsi" w:eastAsia="MS Gothic" w:hAnsiTheme="majorHAnsi" w:cs="Narkisim"/>
          <w:b/>
          <w:lang w:val="es-ES_tradnl"/>
        </w:rPr>
        <w:tab/>
      </w:r>
      <w:r w:rsidR="00097C4A" w:rsidRPr="00F820C9">
        <w:rPr>
          <w:rFonts w:asciiTheme="majorHAnsi" w:eastAsia="MS Gothic" w:hAnsiTheme="majorHAnsi" w:cs="Narkisim"/>
          <w:b/>
          <w:bCs/>
          <w:lang w:val="es-ES_tradnl"/>
        </w:rPr>
        <w:t>Apertura: Discursos de bienvenida</w:t>
      </w:r>
    </w:p>
    <w:p w:rsidR="00385C98" w:rsidRPr="00F820C9" w:rsidRDefault="00385C98" w:rsidP="003E02D6">
      <w:pPr>
        <w:ind w:left="426" w:right="429"/>
        <w:rPr>
          <w:rFonts w:asciiTheme="majorHAnsi" w:eastAsia="MS Gothic" w:hAnsiTheme="majorHAnsi" w:cs="Narkisim"/>
          <w:i/>
          <w:lang w:val="es-ES_tradnl"/>
        </w:rPr>
      </w:pPr>
      <w:r w:rsidRPr="00F820C9">
        <w:rPr>
          <w:rFonts w:asciiTheme="majorHAnsi" w:eastAsia="MS Gothic" w:hAnsiTheme="majorHAnsi" w:cs="Narkisim"/>
          <w:lang w:val="es-ES_tradnl"/>
        </w:rPr>
        <w:tab/>
      </w:r>
      <w:r w:rsidRPr="00F820C9">
        <w:rPr>
          <w:rFonts w:asciiTheme="majorHAnsi" w:eastAsia="MS Gothic" w:hAnsiTheme="majorHAnsi" w:cs="Narkisim"/>
          <w:lang w:val="es-ES_tradnl"/>
        </w:rPr>
        <w:tab/>
      </w:r>
      <w:r w:rsidRPr="00F820C9">
        <w:rPr>
          <w:rFonts w:asciiTheme="majorHAnsi" w:eastAsia="MS Gothic" w:hAnsiTheme="majorHAnsi" w:cs="Narkisim"/>
          <w:lang w:val="es-ES_tradnl"/>
        </w:rPr>
        <w:tab/>
      </w:r>
      <w:r w:rsidRPr="00F820C9">
        <w:rPr>
          <w:rFonts w:asciiTheme="majorHAnsi" w:eastAsia="MS Gothic" w:hAnsiTheme="majorHAnsi" w:cs="Narkisim"/>
          <w:i/>
          <w:lang w:val="es-ES_tradnl"/>
        </w:rPr>
        <w:t xml:space="preserve">Susan </w:t>
      </w:r>
      <w:proofErr w:type="spellStart"/>
      <w:r w:rsidRPr="00F820C9">
        <w:rPr>
          <w:rFonts w:asciiTheme="majorHAnsi" w:eastAsia="MS Gothic" w:hAnsiTheme="majorHAnsi" w:cs="Narkisim"/>
          <w:i/>
          <w:lang w:val="es-ES_tradnl"/>
        </w:rPr>
        <w:t>Hopgood</w:t>
      </w:r>
      <w:proofErr w:type="spellEnd"/>
      <w:r w:rsidRPr="00F820C9">
        <w:rPr>
          <w:rFonts w:asciiTheme="majorHAnsi" w:eastAsia="MS Gothic" w:hAnsiTheme="majorHAnsi" w:cs="Narkisim"/>
          <w:i/>
          <w:lang w:val="es-ES_tradnl"/>
        </w:rPr>
        <w:t>, President</w:t>
      </w:r>
      <w:r w:rsidR="00097C4A" w:rsidRPr="00F820C9">
        <w:rPr>
          <w:rFonts w:asciiTheme="majorHAnsi" w:eastAsia="MS Gothic" w:hAnsiTheme="majorHAnsi" w:cs="Narkisim"/>
          <w:i/>
          <w:lang w:val="es-ES_tradnl"/>
        </w:rPr>
        <w:t>e</w:t>
      </w:r>
      <w:r w:rsidRPr="00F820C9">
        <w:rPr>
          <w:rFonts w:asciiTheme="majorHAnsi" w:eastAsia="MS Gothic" w:hAnsiTheme="majorHAnsi" w:cs="Narkisim"/>
          <w:i/>
          <w:lang w:val="es-ES_tradnl"/>
        </w:rPr>
        <w:t xml:space="preserve">, </w:t>
      </w:r>
      <w:r w:rsidR="00097C4A" w:rsidRPr="00F820C9">
        <w:rPr>
          <w:rFonts w:asciiTheme="majorHAnsi" w:eastAsia="MS Gothic" w:hAnsiTheme="majorHAnsi" w:cs="Narkisim"/>
          <w:i/>
          <w:lang w:val="es-ES_tradnl"/>
        </w:rPr>
        <w:t>Internacional de la Educación</w:t>
      </w:r>
      <w:r w:rsidRPr="00F820C9">
        <w:rPr>
          <w:rFonts w:asciiTheme="majorHAnsi" w:eastAsia="MS Gothic" w:hAnsiTheme="majorHAnsi" w:cs="Narkisim"/>
          <w:i/>
          <w:lang w:val="es-ES_tradnl"/>
        </w:rPr>
        <w:t xml:space="preserve"> </w:t>
      </w:r>
    </w:p>
    <w:p w:rsidR="00AB6581" w:rsidRPr="00F820C9" w:rsidRDefault="00385C98" w:rsidP="00592634">
      <w:pPr>
        <w:ind w:left="2160" w:right="429" w:hanging="2160"/>
        <w:rPr>
          <w:rFonts w:asciiTheme="majorHAnsi" w:eastAsia="MS Gothic" w:hAnsiTheme="majorHAnsi" w:cs="Narkisim"/>
          <w:lang w:val="es-ES_tradnl"/>
        </w:rPr>
      </w:pPr>
      <w:r w:rsidRPr="00F820C9">
        <w:rPr>
          <w:rFonts w:asciiTheme="majorHAnsi" w:eastAsia="MS Gothic" w:hAnsiTheme="majorHAnsi" w:cs="Narkisim"/>
          <w:b/>
          <w:lang w:val="es-ES_tradnl"/>
        </w:rPr>
        <w:t>09:30 – 10:45</w:t>
      </w:r>
      <w:r w:rsidRPr="00F820C9">
        <w:rPr>
          <w:rFonts w:asciiTheme="majorHAnsi" w:eastAsia="MS Gothic" w:hAnsiTheme="majorHAnsi" w:cs="Narkisim"/>
          <w:b/>
          <w:lang w:val="es-ES_tradnl"/>
        </w:rPr>
        <w:tab/>
      </w:r>
      <w:r w:rsidR="00592634" w:rsidRPr="00592634">
        <w:rPr>
          <w:rFonts w:asciiTheme="majorHAnsi" w:eastAsia="MS Gothic" w:hAnsiTheme="majorHAnsi" w:cs="Narkisim"/>
          <w:b/>
          <w:lang w:val="es-ES_tradnl"/>
        </w:rPr>
        <w:t>Balance de las actividades de la IE desde la 6ª Congreso Mundial  sobre la educación terciaria y superior</w:t>
      </w:r>
      <w:r w:rsidR="00486A32" w:rsidRPr="00F820C9">
        <w:rPr>
          <w:rFonts w:asciiTheme="majorHAnsi" w:eastAsia="MS Gothic" w:hAnsiTheme="majorHAnsi" w:cs="Narkisim"/>
          <w:lang w:val="es-ES_tradnl"/>
        </w:rPr>
        <w:tab/>
      </w:r>
      <w:r w:rsidR="00486A32" w:rsidRPr="00F820C9">
        <w:rPr>
          <w:rFonts w:asciiTheme="majorHAnsi" w:eastAsia="MS Gothic" w:hAnsiTheme="majorHAnsi" w:cs="Narkisim"/>
          <w:lang w:val="es-ES_tradnl"/>
        </w:rPr>
        <w:tab/>
      </w:r>
    </w:p>
    <w:p w:rsidR="00117804" w:rsidRPr="00F820C9" w:rsidRDefault="00097C4A" w:rsidP="00276E79">
      <w:pPr>
        <w:ind w:left="1866" w:right="429" w:firstLine="294"/>
        <w:rPr>
          <w:rFonts w:asciiTheme="majorHAnsi" w:eastAsia="MS Gothic" w:hAnsiTheme="majorHAnsi" w:cs="Narkisim"/>
          <w:i/>
          <w:lang w:val="es-ES_tradnl"/>
        </w:rPr>
      </w:pPr>
      <w:r w:rsidRPr="00F820C9">
        <w:rPr>
          <w:rFonts w:asciiTheme="majorHAnsi" w:eastAsia="MS Gothic" w:hAnsiTheme="majorHAnsi" w:cs="Narkisim"/>
          <w:i/>
          <w:lang w:val="es-ES_tradnl"/>
        </w:rPr>
        <w:t>Presidente</w:t>
      </w:r>
      <w:r w:rsidR="00117804" w:rsidRPr="00F820C9">
        <w:rPr>
          <w:rFonts w:asciiTheme="majorHAnsi" w:eastAsia="MS Gothic" w:hAnsiTheme="majorHAnsi" w:cs="Narkisim"/>
          <w:i/>
          <w:lang w:val="es-ES_tradnl"/>
        </w:rPr>
        <w:t xml:space="preserve">: </w:t>
      </w:r>
      <w:proofErr w:type="spellStart"/>
      <w:r w:rsidR="00117804" w:rsidRPr="00F820C9">
        <w:rPr>
          <w:rFonts w:asciiTheme="majorHAnsi" w:eastAsia="MS Gothic" w:hAnsiTheme="majorHAnsi" w:cs="Narkisim"/>
          <w:i/>
          <w:lang w:val="es-ES_tradnl"/>
        </w:rPr>
        <w:t>Grahame</w:t>
      </w:r>
      <w:proofErr w:type="spellEnd"/>
      <w:r w:rsidR="00117804" w:rsidRPr="00F820C9">
        <w:rPr>
          <w:rFonts w:asciiTheme="majorHAnsi" w:eastAsia="MS Gothic" w:hAnsiTheme="majorHAnsi" w:cs="Narkisim"/>
          <w:i/>
          <w:lang w:val="es-ES_tradnl"/>
        </w:rPr>
        <w:t xml:space="preserve"> </w:t>
      </w:r>
      <w:proofErr w:type="spellStart"/>
      <w:r w:rsidR="00117804" w:rsidRPr="00F820C9">
        <w:rPr>
          <w:rFonts w:asciiTheme="majorHAnsi" w:eastAsia="MS Gothic" w:hAnsiTheme="majorHAnsi" w:cs="Narkisim"/>
          <w:i/>
          <w:lang w:val="es-ES_tradnl"/>
        </w:rPr>
        <w:t>McCulloch</w:t>
      </w:r>
      <w:proofErr w:type="spellEnd"/>
      <w:r w:rsidR="00117804" w:rsidRPr="00F820C9">
        <w:rPr>
          <w:rFonts w:asciiTheme="majorHAnsi" w:eastAsia="MS Gothic" w:hAnsiTheme="majorHAnsi" w:cs="Narkisim"/>
          <w:i/>
          <w:lang w:val="es-ES_tradnl"/>
        </w:rPr>
        <w:t>, NTEU (Australia)</w:t>
      </w:r>
    </w:p>
    <w:p w:rsidR="00117804" w:rsidRPr="00F820C9" w:rsidRDefault="00117804" w:rsidP="003E02D6">
      <w:pPr>
        <w:ind w:left="426" w:right="429"/>
        <w:rPr>
          <w:rFonts w:asciiTheme="majorHAnsi" w:eastAsia="MS Gothic" w:hAnsiTheme="majorHAnsi" w:cs="Narkisim"/>
          <w:i/>
          <w:lang w:val="es-ES_tradnl"/>
        </w:rPr>
      </w:pPr>
      <w:r w:rsidRPr="00F820C9">
        <w:rPr>
          <w:rFonts w:asciiTheme="majorHAnsi" w:eastAsia="MS Gothic" w:hAnsiTheme="majorHAnsi" w:cs="Narkisim"/>
          <w:i/>
          <w:lang w:val="es-ES_tradnl"/>
        </w:rPr>
        <w:tab/>
      </w:r>
      <w:r w:rsidR="00486A32" w:rsidRPr="00F820C9">
        <w:rPr>
          <w:rFonts w:asciiTheme="majorHAnsi" w:eastAsia="MS Gothic" w:hAnsiTheme="majorHAnsi" w:cs="Narkisim"/>
          <w:i/>
          <w:lang w:val="es-ES_tradnl"/>
        </w:rPr>
        <w:tab/>
      </w:r>
      <w:r w:rsidR="00486A32" w:rsidRPr="00F820C9">
        <w:rPr>
          <w:rFonts w:asciiTheme="majorHAnsi" w:eastAsia="MS Gothic" w:hAnsiTheme="majorHAnsi" w:cs="Narkisim"/>
          <w:i/>
          <w:lang w:val="es-ES_tradnl"/>
        </w:rPr>
        <w:tab/>
      </w:r>
      <w:r w:rsidR="00097C4A" w:rsidRPr="00F820C9">
        <w:rPr>
          <w:rFonts w:asciiTheme="majorHAnsi" w:eastAsia="MS Gothic" w:hAnsiTheme="majorHAnsi" w:cs="Narkisim"/>
          <w:i/>
          <w:lang w:val="es-ES_tradnl"/>
        </w:rPr>
        <w:t>Presentador</w:t>
      </w:r>
      <w:r w:rsidRPr="00F820C9">
        <w:rPr>
          <w:rFonts w:asciiTheme="majorHAnsi" w:eastAsia="MS Gothic" w:hAnsiTheme="majorHAnsi" w:cs="Narkisim"/>
          <w:i/>
          <w:lang w:val="es-ES_tradnl"/>
        </w:rPr>
        <w:t>: David Robinson, CAUT/ACPPU (</w:t>
      </w:r>
      <w:r w:rsidR="00097C4A" w:rsidRPr="00F820C9">
        <w:rPr>
          <w:rFonts w:asciiTheme="majorHAnsi" w:eastAsia="MS Gothic" w:hAnsiTheme="majorHAnsi" w:cs="Narkisim"/>
          <w:i/>
          <w:lang w:val="es-ES_tradnl"/>
        </w:rPr>
        <w:t>Canadá</w:t>
      </w:r>
      <w:r w:rsidRPr="00F820C9">
        <w:rPr>
          <w:rFonts w:asciiTheme="majorHAnsi" w:eastAsia="MS Gothic" w:hAnsiTheme="majorHAnsi" w:cs="Narkisim"/>
          <w:i/>
          <w:lang w:val="es-ES_tradnl"/>
        </w:rPr>
        <w:t>)</w:t>
      </w:r>
    </w:p>
    <w:p w:rsidR="00117804" w:rsidRPr="00F820C9" w:rsidRDefault="00117804" w:rsidP="00CD7711">
      <w:pPr>
        <w:ind w:left="426" w:right="429"/>
        <w:rPr>
          <w:rFonts w:asciiTheme="majorHAnsi" w:eastAsia="MS Gothic" w:hAnsiTheme="majorHAnsi" w:cs="Narkisim"/>
          <w:b/>
          <w:lang w:val="es-ES_tradnl"/>
        </w:rPr>
      </w:pPr>
      <w:r w:rsidRPr="00F820C9">
        <w:rPr>
          <w:rFonts w:asciiTheme="majorHAnsi" w:eastAsia="MS Gothic" w:hAnsiTheme="majorHAnsi" w:cs="Narkisim"/>
          <w:b/>
          <w:lang w:val="es-ES_tradnl"/>
        </w:rPr>
        <w:t>10:45 – 11:00</w:t>
      </w:r>
      <w:r w:rsidRPr="00F820C9">
        <w:rPr>
          <w:rFonts w:asciiTheme="majorHAnsi" w:eastAsia="MS Gothic" w:hAnsiTheme="majorHAnsi" w:cs="Narkisim"/>
          <w:b/>
          <w:lang w:val="es-ES_tradnl"/>
        </w:rPr>
        <w:tab/>
      </w:r>
      <w:r w:rsidR="00097C4A" w:rsidRPr="00F820C9">
        <w:rPr>
          <w:rFonts w:asciiTheme="majorHAnsi" w:eastAsia="MS Gothic" w:hAnsiTheme="majorHAnsi" w:cs="Narkisim"/>
          <w:b/>
          <w:lang w:val="es-ES_tradnl"/>
        </w:rPr>
        <w:t>Pausa</w:t>
      </w:r>
    </w:p>
    <w:p w:rsidR="00117804" w:rsidRPr="00F820C9" w:rsidRDefault="005A6BF5" w:rsidP="00CD7711">
      <w:pPr>
        <w:ind w:left="2160" w:right="429" w:hanging="1734"/>
        <w:rPr>
          <w:rFonts w:asciiTheme="majorHAnsi" w:eastAsia="MS Gothic" w:hAnsiTheme="majorHAnsi" w:cs="Narkisim"/>
          <w:b/>
          <w:lang w:val="es-ES_tradnl"/>
        </w:rPr>
      </w:pPr>
      <w:r w:rsidRPr="00F820C9">
        <w:rPr>
          <w:rFonts w:asciiTheme="majorHAnsi" w:eastAsia="MS Gothic" w:hAnsiTheme="majorHAnsi" w:cs="Narkisim"/>
          <w:b/>
          <w:lang w:val="es-ES_tradnl"/>
        </w:rPr>
        <w:t>11:00 – 12:00</w:t>
      </w:r>
      <w:r w:rsidRPr="00F820C9">
        <w:rPr>
          <w:rFonts w:asciiTheme="majorHAnsi" w:eastAsia="MS Gothic" w:hAnsiTheme="majorHAnsi" w:cs="Narkisim"/>
          <w:b/>
          <w:lang w:val="es-ES_tradnl"/>
        </w:rPr>
        <w:tab/>
        <w:t xml:space="preserve">La cooperación para el desarrollo en la educación terciaria y superior </w:t>
      </w:r>
    </w:p>
    <w:p w:rsidR="00117804" w:rsidRPr="00F820C9" w:rsidRDefault="00117804" w:rsidP="00CD7711">
      <w:pPr>
        <w:ind w:left="426" w:right="429"/>
        <w:rPr>
          <w:rFonts w:asciiTheme="majorHAnsi" w:eastAsia="MS Gothic" w:hAnsiTheme="majorHAnsi" w:cs="Narkisim"/>
          <w:i/>
          <w:lang w:val="es-ES_tradnl"/>
        </w:rPr>
      </w:pPr>
      <w:r w:rsidRPr="00F820C9">
        <w:rPr>
          <w:rFonts w:asciiTheme="majorHAnsi" w:eastAsia="MS Gothic" w:hAnsiTheme="majorHAnsi" w:cs="Narkisim"/>
          <w:lang w:val="es-ES_tradnl"/>
        </w:rPr>
        <w:tab/>
      </w:r>
      <w:r w:rsidR="00486A32" w:rsidRPr="00F820C9">
        <w:rPr>
          <w:rFonts w:asciiTheme="majorHAnsi" w:eastAsia="MS Gothic" w:hAnsiTheme="majorHAnsi" w:cs="Narkisim"/>
          <w:lang w:val="es-ES_tradnl"/>
        </w:rPr>
        <w:tab/>
      </w:r>
      <w:r w:rsidR="00486A32" w:rsidRPr="00F820C9">
        <w:rPr>
          <w:rFonts w:asciiTheme="majorHAnsi" w:eastAsia="MS Gothic" w:hAnsiTheme="majorHAnsi" w:cs="Narkisim"/>
          <w:lang w:val="es-ES_tradnl"/>
        </w:rPr>
        <w:tab/>
      </w:r>
      <w:r w:rsidR="00511E76" w:rsidRPr="00F820C9">
        <w:rPr>
          <w:rFonts w:asciiTheme="majorHAnsi" w:eastAsia="MS Gothic" w:hAnsiTheme="majorHAnsi" w:cs="Narkisim"/>
          <w:i/>
          <w:lang w:val="es-ES_tradnl"/>
        </w:rPr>
        <w:t>Presidente</w:t>
      </w:r>
      <w:r w:rsidRPr="00F820C9">
        <w:rPr>
          <w:rFonts w:asciiTheme="majorHAnsi" w:eastAsia="MS Gothic" w:hAnsiTheme="majorHAnsi" w:cs="Narkisim"/>
          <w:i/>
          <w:lang w:val="es-ES_tradnl"/>
        </w:rPr>
        <w:t xml:space="preserve">: </w:t>
      </w:r>
      <w:r w:rsidR="00592634">
        <w:rPr>
          <w:rFonts w:asciiTheme="majorHAnsi" w:eastAsia="MS Gothic" w:hAnsiTheme="majorHAnsi" w:cs="Narkisim"/>
          <w:i/>
          <w:lang w:val="es-ES_tradnl"/>
        </w:rPr>
        <w:tab/>
      </w:r>
      <w:r w:rsidRPr="00F820C9">
        <w:rPr>
          <w:rFonts w:asciiTheme="majorHAnsi" w:eastAsia="MS Gothic" w:hAnsiTheme="majorHAnsi" w:cs="Narkisim"/>
          <w:i/>
          <w:lang w:val="es-ES_tradnl"/>
        </w:rPr>
        <w:t xml:space="preserve">Ingrid </w:t>
      </w:r>
      <w:proofErr w:type="spellStart"/>
      <w:r w:rsidRPr="00F820C9">
        <w:rPr>
          <w:rFonts w:asciiTheme="majorHAnsi" w:eastAsia="MS Gothic" w:hAnsiTheme="majorHAnsi" w:cs="Narkisim"/>
          <w:i/>
          <w:lang w:val="es-ES_tradnl"/>
        </w:rPr>
        <w:t>Stage</w:t>
      </w:r>
      <w:proofErr w:type="spellEnd"/>
      <w:r w:rsidRPr="00F820C9">
        <w:rPr>
          <w:rFonts w:asciiTheme="majorHAnsi" w:eastAsia="MS Gothic" w:hAnsiTheme="majorHAnsi" w:cs="Narkisim"/>
          <w:i/>
          <w:lang w:val="es-ES_tradnl"/>
        </w:rPr>
        <w:t>, DM (</w:t>
      </w:r>
      <w:r w:rsidR="00097C4A" w:rsidRPr="00F820C9">
        <w:rPr>
          <w:rFonts w:asciiTheme="majorHAnsi" w:eastAsia="MS Gothic" w:hAnsiTheme="majorHAnsi" w:cs="Narkisim"/>
          <w:i/>
          <w:lang w:val="es-ES_tradnl"/>
        </w:rPr>
        <w:t>Dinamarca</w:t>
      </w:r>
      <w:r w:rsidRPr="00F820C9">
        <w:rPr>
          <w:rFonts w:asciiTheme="majorHAnsi" w:eastAsia="MS Gothic" w:hAnsiTheme="majorHAnsi" w:cs="Narkisim"/>
          <w:i/>
          <w:lang w:val="es-ES_tradnl"/>
        </w:rPr>
        <w:t>)</w:t>
      </w:r>
    </w:p>
    <w:p w:rsidR="00117804" w:rsidRPr="00F820C9" w:rsidRDefault="00117804" w:rsidP="00592634">
      <w:pPr>
        <w:spacing w:after="0"/>
        <w:ind w:left="426" w:right="429"/>
        <w:rPr>
          <w:rFonts w:asciiTheme="majorHAnsi" w:eastAsia="MS Gothic" w:hAnsiTheme="majorHAnsi" w:cs="Narkisim"/>
          <w:i/>
          <w:lang w:val="es-ES_tradnl"/>
        </w:rPr>
      </w:pPr>
      <w:r w:rsidRPr="00F820C9">
        <w:rPr>
          <w:rFonts w:asciiTheme="majorHAnsi" w:eastAsia="MS Gothic" w:hAnsiTheme="majorHAnsi" w:cs="Narkisim"/>
          <w:i/>
          <w:lang w:val="es-ES_tradnl"/>
        </w:rPr>
        <w:tab/>
      </w:r>
      <w:r w:rsidR="00486A32" w:rsidRPr="00F820C9">
        <w:rPr>
          <w:rFonts w:asciiTheme="majorHAnsi" w:eastAsia="MS Gothic" w:hAnsiTheme="majorHAnsi" w:cs="Narkisim"/>
          <w:i/>
          <w:lang w:val="es-ES_tradnl"/>
        </w:rPr>
        <w:tab/>
      </w:r>
      <w:r w:rsidR="00486A32" w:rsidRPr="00F820C9">
        <w:rPr>
          <w:rFonts w:asciiTheme="majorHAnsi" w:eastAsia="MS Gothic" w:hAnsiTheme="majorHAnsi" w:cs="Narkisim"/>
          <w:i/>
          <w:lang w:val="es-ES_tradnl"/>
        </w:rPr>
        <w:tab/>
      </w:r>
      <w:r w:rsidR="00511E76" w:rsidRPr="00F820C9">
        <w:rPr>
          <w:rFonts w:asciiTheme="majorHAnsi" w:eastAsia="MS Gothic" w:hAnsiTheme="majorHAnsi" w:cs="Narkisim"/>
          <w:i/>
          <w:lang w:val="es-ES_tradnl"/>
        </w:rPr>
        <w:t>Panelistas</w:t>
      </w:r>
      <w:r w:rsidRPr="00F820C9">
        <w:rPr>
          <w:rFonts w:asciiTheme="majorHAnsi" w:eastAsia="MS Gothic" w:hAnsiTheme="majorHAnsi" w:cs="Narkisim"/>
          <w:i/>
          <w:lang w:val="es-ES_tradnl"/>
        </w:rPr>
        <w:t>:</w:t>
      </w:r>
      <w:r w:rsidR="00486A32" w:rsidRPr="00F820C9">
        <w:rPr>
          <w:rFonts w:asciiTheme="majorHAnsi" w:eastAsia="MS Gothic" w:hAnsiTheme="majorHAnsi" w:cs="Narkisim"/>
          <w:i/>
          <w:lang w:val="es-ES_tradnl"/>
        </w:rPr>
        <w:tab/>
      </w:r>
      <w:r w:rsidRPr="00F820C9">
        <w:rPr>
          <w:rFonts w:asciiTheme="majorHAnsi" w:eastAsia="MS Gothic" w:hAnsiTheme="majorHAnsi" w:cs="Narkisim"/>
          <w:i/>
          <w:lang w:val="es-ES_tradnl"/>
        </w:rPr>
        <w:t xml:space="preserve">David </w:t>
      </w:r>
      <w:proofErr w:type="spellStart"/>
      <w:r w:rsidRPr="00F820C9">
        <w:rPr>
          <w:rFonts w:asciiTheme="majorHAnsi" w:eastAsia="MS Gothic" w:hAnsiTheme="majorHAnsi" w:cs="Narkisim"/>
          <w:i/>
          <w:lang w:val="es-ES_tradnl"/>
        </w:rPr>
        <w:t>Dzatsunga</w:t>
      </w:r>
      <w:proofErr w:type="spellEnd"/>
      <w:r w:rsidRPr="00F820C9">
        <w:rPr>
          <w:rFonts w:asciiTheme="majorHAnsi" w:eastAsia="MS Gothic" w:hAnsiTheme="majorHAnsi" w:cs="Narkisim"/>
          <w:i/>
          <w:lang w:val="es-ES_tradnl"/>
        </w:rPr>
        <w:t>, COLAZ (</w:t>
      </w:r>
      <w:r w:rsidR="00097C4A" w:rsidRPr="00F820C9">
        <w:rPr>
          <w:rFonts w:asciiTheme="majorHAnsi" w:eastAsia="MS Gothic" w:hAnsiTheme="majorHAnsi" w:cs="Narkisim"/>
          <w:i/>
          <w:lang w:val="es-ES_tradnl"/>
        </w:rPr>
        <w:t>Zimbabue</w:t>
      </w:r>
      <w:r w:rsidRPr="00F820C9">
        <w:rPr>
          <w:rFonts w:asciiTheme="majorHAnsi" w:eastAsia="MS Gothic" w:hAnsiTheme="majorHAnsi" w:cs="Narkisim"/>
          <w:i/>
          <w:lang w:val="es-ES_tradnl"/>
        </w:rPr>
        <w:t>)</w:t>
      </w:r>
    </w:p>
    <w:p w:rsidR="00117804" w:rsidRPr="00F820C9" w:rsidRDefault="00117804" w:rsidP="00592634">
      <w:pPr>
        <w:spacing w:after="0"/>
        <w:ind w:left="426" w:right="429"/>
        <w:rPr>
          <w:rFonts w:asciiTheme="majorHAnsi" w:eastAsia="MS Gothic" w:hAnsiTheme="majorHAnsi" w:cs="Narkisim"/>
          <w:i/>
          <w:lang w:val="es-ES_tradnl"/>
        </w:rPr>
      </w:pPr>
      <w:r w:rsidRPr="00F820C9">
        <w:rPr>
          <w:rFonts w:asciiTheme="majorHAnsi" w:eastAsia="MS Gothic" w:hAnsiTheme="majorHAnsi" w:cs="Narkisim"/>
          <w:i/>
          <w:lang w:val="es-ES_tradnl"/>
        </w:rPr>
        <w:tab/>
      </w:r>
      <w:r w:rsidR="00486A32" w:rsidRPr="00F820C9">
        <w:rPr>
          <w:rFonts w:asciiTheme="majorHAnsi" w:eastAsia="MS Gothic" w:hAnsiTheme="majorHAnsi" w:cs="Narkisim"/>
          <w:i/>
          <w:lang w:val="es-ES_tradnl"/>
        </w:rPr>
        <w:tab/>
      </w:r>
      <w:r w:rsidR="00486A32" w:rsidRPr="00F820C9">
        <w:rPr>
          <w:rFonts w:asciiTheme="majorHAnsi" w:eastAsia="MS Gothic" w:hAnsiTheme="majorHAnsi" w:cs="Narkisim"/>
          <w:i/>
          <w:lang w:val="es-ES_tradnl"/>
        </w:rPr>
        <w:tab/>
      </w:r>
      <w:r w:rsidR="00592634">
        <w:rPr>
          <w:rFonts w:asciiTheme="majorHAnsi" w:eastAsia="MS Gothic" w:hAnsiTheme="majorHAnsi" w:cs="Narkisim"/>
          <w:i/>
          <w:lang w:val="es-ES_tradnl"/>
        </w:rPr>
        <w:tab/>
      </w:r>
      <w:r w:rsidR="00592634">
        <w:rPr>
          <w:rFonts w:asciiTheme="majorHAnsi" w:eastAsia="MS Gothic" w:hAnsiTheme="majorHAnsi" w:cs="Narkisim"/>
          <w:i/>
          <w:lang w:val="es-ES_tradnl"/>
        </w:rPr>
        <w:tab/>
      </w:r>
      <w:r w:rsidRPr="00F820C9">
        <w:rPr>
          <w:rFonts w:asciiTheme="majorHAnsi" w:eastAsia="MS Gothic" w:hAnsiTheme="majorHAnsi" w:cs="Narkisim"/>
          <w:i/>
          <w:lang w:val="es-ES_tradnl"/>
        </w:rPr>
        <w:t>Yamile Socolovsky, CONADU (Argentina)</w:t>
      </w:r>
    </w:p>
    <w:p w:rsidR="00117804" w:rsidRPr="00F820C9" w:rsidRDefault="00117804" w:rsidP="00592634">
      <w:pPr>
        <w:spacing w:after="0"/>
        <w:ind w:left="426" w:right="429"/>
        <w:rPr>
          <w:rFonts w:asciiTheme="majorHAnsi" w:eastAsia="MS Gothic" w:hAnsiTheme="majorHAnsi" w:cs="Narkisim"/>
          <w:i/>
          <w:lang w:val="es-ES_tradnl"/>
        </w:rPr>
      </w:pPr>
      <w:r w:rsidRPr="00F820C9">
        <w:rPr>
          <w:rFonts w:asciiTheme="majorHAnsi" w:eastAsia="MS Gothic" w:hAnsiTheme="majorHAnsi" w:cs="Narkisim"/>
          <w:i/>
          <w:lang w:val="es-ES_tradnl"/>
        </w:rPr>
        <w:tab/>
      </w:r>
      <w:r w:rsidR="00486A32" w:rsidRPr="00F820C9">
        <w:rPr>
          <w:rFonts w:asciiTheme="majorHAnsi" w:eastAsia="MS Gothic" w:hAnsiTheme="majorHAnsi" w:cs="Narkisim"/>
          <w:i/>
          <w:lang w:val="es-ES_tradnl"/>
        </w:rPr>
        <w:tab/>
      </w:r>
      <w:r w:rsidR="00486A32" w:rsidRPr="00F820C9">
        <w:rPr>
          <w:rFonts w:asciiTheme="majorHAnsi" w:eastAsia="MS Gothic" w:hAnsiTheme="majorHAnsi" w:cs="Narkisim"/>
          <w:i/>
          <w:lang w:val="es-ES_tradnl"/>
        </w:rPr>
        <w:tab/>
      </w:r>
      <w:r w:rsidR="00592634">
        <w:rPr>
          <w:rFonts w:asciiTheme="majorHAnsi" w:eastAsia="MS Gothic" w:hAnsiTheme="majorHAnsi" w:cs="Narkisim"/>
          <w:i/>
          <w:lang w:val="es-ES_tradnl"/>
        </w:rPr>
        <w:tab/>
      </w:r>
      <w:r w:rsidR="00592634">
        <w:rPr>
          <w:rFonts w:asciiTheme="majorHAnsi" w:eastAsia="MS Gothic" w:hAnsiTheme="majorHAnsi" w:cs="Narkisim"/>
          <w:i/>
          <w:lang w:val="es-ES_tradnl"/>
        </w:rPr>
        <w:tab/>
      </w:r>
      <w:proofErr w:type="spellStart"/>
      <w:r w:rsidR="00592634">
        <w:rPr>
          <w:rFonts w:asciiTheme="majorHAnsi" w:eastAsia="MS Gothic" w:hAnsiTheme="majorHAnsi" w:cs="Narkisim"/>
          <w:i/>
          <w:lang w:val="es-ES_tradnl"/>
        </w:rPr>
        <w:t>Amjad</w:t>
      </w:r>
      <w:proofErr w:type="spellEnd"/>
      <w:r w:rsidR="00592634">
        <w:rPr>
          <w:rFonts w:asciiTheme="majorHAnsi" w:eastAsia="MS Gothic" w:hAnsiTheme="majorHAnsi" w:cs="Narkisim"/>
          <w:i/>
          <w:lang w:val="es-ES_tradnl"/>
        </w:rPr>
        <w:t xml:space="preserve"> </w:t>
      </w:r>
      <w:proofErr w:type="spellStart"/>
      <w:r w:rsidR="00592634">
        <w:rPr>
          <w:rFonts w:asciiTheme="majorHAnsi" w:eastAsia="MS Gothic" w:hAnsiTheme="majorHAnsi" w:cs="Narkisim"/>
          <w:i/>
          <w:lang w:val="es-ES_tradnl"/>
        </w:rPr>
        <w:t>Dababat</w:t>
      </w:r>
      <w:proofErr w:type="spellEnd"/>
      <w:r w:rsidR="000A1DB0">
        <w:rPr>
          <w:rFonts w:asciiTheme="majorHAnsi" w:eastAsia="MS Gothic" w:hAnsiTheme="majorHAnsi" w:cs="Narkisim"/>
          <w:i/>
          <w:lang w:val="es-ES_tradnl"/>
        </w:rPr>
        <w:t xml:space="preserve">, </w:t>
      </w:r>
      <w:r w:rsidR="00592634">
        <w:rPr>
          <w:rFonts w:asciiTheme="majorHAnsi" w:eastAsia="MS Gothic" w:hAnsiTheme="majorHAnsi" w:cs="Narkisim"/>
          <w:i/>
          <w:lang w:val="es-ES_tradnl"/>
        </w:rPr>
        <w:t>PFUUPE</w:t>
      </w:r>
      <w:r w:rsidR="000A1DB0">
        <w:rPr>
          <w:rFonts w:asciiTheme="majorHAnsi" w:eastAsia="MS Gothic" w:hAnsiTheme="majorHAnsi" w:cs="Narkisim"/>
          <w:i/>
          <w:lang w:val="es-ES_tradnl"/>
        </w:rPr>
        <w:t xml:space="preserve"> </w:t>
      </w:r>
      <w:r w:rsidR="00097C4A" w:rsidRPr="00F820C9">
        <w:rPr>
          <w:rFonts w:asciiTheme="majorHAnsi" w:eastAsia="MS Gothic" w:hAnsiTheme="majorHAnsi" w:cs="Narkisim"/>
          <w:i/>
          <w:lang w:val="es-ES_tradnl"/>
        </w:rPr>
        <w:t xml:space="preserve"> (Palestina</w:t>
      </w:r>
      <w:r w:rsidRPr="00F820C9">
        <w:rPr>
          <w:rFonts w:asciiTheme="majorHAnsi" w:eastAsia="MS Gothic" w:hAnsiTheme="majorHAnsi" w:cs="Narkisim"/>
          <w:i/>
          <w:lang w:val="es-ES_tradnl"/>
        </w:rPr>
        <w:t>)</w:t>
      </w:r>
    </w:p>
    <w:p w:rsidR="00117804" w:rsidRPr="00F820C9" w:rsidRDefault="00117804" w:rsidP="00CD7711">
      <w:pPr>
        <w:spacing w:after="0"/>
        <w:ind w:left="426" w:right="429"/>
        <w:rPr>
          <w:rFonts w:asciiTheme="majorHAnsi" w:eastAsia="MS Gothic" w:hAnsiTheme="majorHAnsi" w:cs="Narkisim"/>
          <w:i/>
          <w:lang w:val="es-ES_tradnl"/>
        </w:rPr>
      </w:pPr>
    </w:p>
    <w:p w:rsidR="00117804" w:rsidRPr="00F820C9" w:rsidRDefault="00117804" w:rsidP="00CD7711">
      <w:pPr>
        <w:spacing w:after="0"/>
        <w:ind w:left="426" w:right="429"/>
        <w:rPr>
          <w:rFonts w:asciiTheme="majorHAnsi" w:eastAsia="MS Gothic" w:hAnsiTheme="majorHAnsi" w:cs="Narkisim"/>
          <w:b/>
          <w:lang w:val="es-ES_tradnl"/>
        </w:rPr>
      </w:pPr>
      <w:r w:rsidRPr="00F820C9">
        <w:rPr>
          <w:rFonts w:asciiTheme="majorHAnsi" w:eastAsia="MS Gothic" w:hAnsiTheme="majorHAnsi" w:cs="Narkisim"/>
          <w:b/>
          <w:lang w:val="es-ES_tradnl"/>
        </w:rPr>
        <w:t>12:00 – 12:30</w:t>
      </w:r>
      <w:r w:rsidRPr="00F820C9">
        <w:rPr>
          <w:rFonts w:asciiTheme="majorHAnsi" w:eastAsia="MS Gothic" w:hAnsiTheme="majorHAnsi" w:cs="Narkisim"/>
          <w:b/>
          <w:lang w:val="es-ES_tradnl"/>
        </w:rPr>
        <w:tab/>
      </w:r>
      <w:r w:rsidR="005A6BF5" w:rsidRPr="00F820C9">
        <w:rPr>
          <w:rFonts w:asciiTheme="majorHAnsi" w:eastAsia="MS Gothic" w:hAnsiTheme="majorHAnsi" w:cs="Narkisim"/>
          <w:b/>
          <w:lang w:val="es-ES_tradnl"/>
        </w:rPr>
        <w:t>Información general de las mesas redondas de la tarde</w:t>
      </w:r>
    </w:p>
    <w:p w:rsidR="00117804" w:rsidRPr="00F820C9" w:rsidRDefault="00117804" w:rsidP="00CD7711">
      <w:pPr>
        <w:spacing w:after="0"/>
        <w:ind w:left="426" w:right="429"/>
        <w:rPr>
          <w:rFonts w:asciiTheme="majorHAnsi" w:eastAsia="MS Gothic" w:hAnsiTheme="majorHAnsi" w:cs="Narkisim"/>
          <w:b/>
          <w:lang w:val="es-ES_tradnl"/>
        </w:rPr>
      </w:pPr>
    </w:p>
    <w:p w:rsidR="00117804" w:rsidRPr="00F820C9" w:rsidRDefault="00117804" w:rsidP="00CD7711">
      <w:pPr>
        <w:spacing w:after="0"/>
        <w:ind w:left="426" w:right="429"/>
        <w:rPr>
          <w:rFonts w:asciiTheme="majorHAnsi" w:eastAsia="MS Gothic" w:hAnsiTheme="majorHAnsi" w:cs="Narkisim"/>
          <w:b/>
          <w:lang w:val="es-ES_tradnl"/>
        </w:rPr>
      </w:pPr>
      <w:r w:rsidRPr="00F820C9">
        <w:rPr>
          <w:rFonts w:asciiTheme="majorHAnsi" w:eastAsia="MS Gothic" w:hAnsiTheme="majorHAnsi" w:cs="Narkisim"/>
          <w:b/>
          <w:lang w:val="es-ES_tradnl"/>
        </w:rPr>
        <w:t>12:30 – 14:00</w:t>
      </w:r>
      <w:r w:rsidRPr="00F820C9">
        <w:rPr>
          <w:rFonts w:asciiTheme="majorHAnsi" w:eastAsia="MS Gothic" w:hAnsiTheme="majorHAnsi" w:cs="Narkisim"/>
          <w:b/>
          <w:lang w:val="es-ES_tradnl"/>
        </w:rPr>
        <w:tab/>
      </w:r>
      <w:r w:rsidR="00D74A55" w:rsidRPr="00F820C9">
        <w:rPr>
          <w:rFonts w:asciiTheme="majorHAnsi" w:eastAsia="MS Gothic" w:hAnsiTheme="majorHAnsi" w:cs="Narkisim"/>
          <w:b/>
          <w:lang w:val="es-ES_tradnl"/>
        </w:rPr>
        <w:t>Almuerzo</w:t>
      </w:r>
    </w:p>
    <w:p w:rsidR="00117804" w:rsidRPr="00F820C9" w:rsidRDefault="00117804" w:rsidP="00CD7711">
      <w:pPr>
        <w:spacing w:after="0"/>
        <w:ind w:left="426" w:right="429"/>
        <w:rPr>
          <w:rFonts w:asciiTheme="majorHAnsi" w:eastAsia="MS Gothic" w:hAnsiTheme="majorHAnsi" w:cs="Narkisim"/>
          <w:b/>
          <w:lang w:val="es-ES_tradnl"/>
        </w:rPr>
      </w:pPr>
    </w:p>
    <w:p w:rsidR="00117804" w:rsidRPr="00F820C9" w:rsidRDefault="00117804" w:rsidP="00CD7711">
      <w:pPr>
        <w:spacing w:after="0"/>
        <w:ind w:left="426" w:right="429"/>
        <w:rPr>
          <w:rFonts w:asciiTheme="majorHAnsi" w:eastAsia="MS Gothic" w:hAnsiTheme="majorHAnsi" w:cs="Narkisim"/>
          <w:b/>
          <w:lang w:val="es-ES_tradnl"/>
        </w:rPr>
      </w:pPr>
      <w:r w:rsidRPr="00F820C9">
        <w:rPr>
          <w:rFonts w:asciiTheme="majorHAnsi" w:eastAsia="MS Gothic" w:hAnsiTheme="majorHAnsi" w:cs="Narkisim"/>
          <w:b/>
          <w:lang w:val="es-ES_tradnl"/>
        </w:rPr>
        <w:t>14:00 – 17:30</w:t>
      </w:r>
      <w:r w:rsidRPr="00F820C9">
        <w:rPr>
          <w:rFonts w:asciiTheme="majorHAnsi" w:eastAsia="MS Gothic" w:hAnsiTheme="majorHAnsi" w:cs="Narkisim"/>
          <w:b/>
          <w:lang w:val="es-ES_tradnl"/>
        </w:rPr>
        <w:tab/>
      </w:r>
      <w:r w:rsidR="00592634">
        <w:rPr>
          <w:rFonts w:asciiTheme="majorHAnsi" w:eastAsia="MS Gothic" w:hAnsiTheme="majorHAnsi" w:cs="Narkisim"/>
          <w:b/>
          <w:lang w:val="es-ES_tradnl"/>
        </w:rPr>
        <w:t>Mesas redondas</w:t>
      </w:r>
    </w:p>
    <w:p w:rsidR="00486A32" w:rsidRPr="00F820C9" w:rsidRDefault="00486A32" w:rsidP="00CD7711">
      <w:pPr>
        <w:spacing w:after="0"/>
        <w:ind w:left="426" w:right="429"/>
        <w:rPr>
          <w:rFonts w:asciiTheme="majorHAnsi" w:eastAsia="MS Gothic" w:hAnsiTheme="majorHAnsi" w:cs="Narkisim"/>
          <w:b/>
          <w:lang w:val="es-ES_tradnl"/>
        </w:rPr>
      </w:pPr>
      <w:r w:rsidRPr="00F820C9">
        <w:rPr>
          <w:rFonts w:asciiTheme="majorHAnsi" w:eastAsia="MS Gothic" w:hAnsiTheme="majorHAnsi" w:cs="Narkisim"/>
          <w:b/>
          <w:lang w:val="es-ES_tradnl"/>
        </w:rPr>
        <w:tab/>
      </w:r>
    </w:p>
    <w:p w:rsidR="00486A32" w:rsidRPr="00F820C9" w:rsidRDefault="00486A32" w:rsidP="00CD7711">
      <w:pPr>
        <w:spacing w:after="0"/>
        <w:ind w:left="426" w:right="429"/>
        <w:rPr>
          <w:rFonts w:asciiTheme="majorHAnsi" w:eastAsia="MS Gothic" w:hAnsiTheme="majorHAnsi" w:cs="Narkisim"/>
          <w:i/>
          <w:lang w:val="es-ES_tradnl"/>
        </w:rPr>
      </w:pPr>
      <w:r w:rsidRPr="00F820C9">
        <w:rPr>
          <w:rFonts w:asciiTheme="majorHAnsi" w:eastAsia="MS Gothic" w:hAnsiTheme="majorHAnsi" w:cs="Narkisim"/>
          <w:b/>
          <w:lang w:val="es-ES_tradnl"/>
        </w:rPr>
        <w:tab/>
      </w:r>
      <w:r w:rsidRPr="00F820C9">
        <w:rPr>
          <w:rFonts w:asciiTheme="majorHAnsi" w:eastAsia="MS Gothic" w:hAnsiTheme="majorHAnsi" w:cs="Narkisim"/>
          <w:b/>
          <w:lang w:val="es-ES_tradnl"/>
        </w:rPr>
        <w:tab/>
      </w:r>
      <w:r w:rsidRPr="00F820C9">
        <w:rPr>
          <w:rFonts w:asciiTheme="majorHAnsi" w:eastAsia="MS Gothic" w:hAnsiTheme="majorHAnsi" w:cs="Narkisim"/>
          <w:b/>
          <w:lang w:val="es-ES_tradnl"/>
        </w:rPr>
        <w:tab/>
      </w:r>
    </w:p>
    <w:p w:rsidR="00A92068" w:rsidRPr="000A1DB0" w:rsidRDefault="00D802D3" w:rsidP="00CD7711">
      <w:pPr>
        <w:ind w:left="426" w:right="429"/>
        <w:rPr>
          <w:rFonts w:ascii="Bookman Old Style" w:eastAsia="MS Gothic" w:hAnsi="Bookman Old Style" w:cs="Narkisim"/>
          <w:b/>
          <w:sz w:val="36"/>
          <w:szCs w:val="36"/>
          <w:lang w:val="es-ES_tradnl"/>
        </w:rPr>
      </w:pPr>
      <w:r w:rsidRPr="00F820C9">
        <w:rPr>
          <w:rFonts w:ascii="Bookman Old Style" w:eastAsia="MS Gothic" w:hAnsi="Bookman Old Style" w:cs="Narkisim"/>
          <w:b/>
          <w:sz w:val="52"/>
          <w:szCs w:val="52"/>
          <w:lang w:val="es-ES_tradnl"/>
        </w:rPr>
        <w:br w:type="page"/>
      </w:r>
      <w:r w:rsidR="004F4D94" w:rsidRPr="000A1DB0">
        <w:rPr>
          <w:rFonts w:asciiTheme="majorHAnsi" w:eastAsia="MS Gothic" w:hAnsiTheme="majorHAnsi" w:cs="Narkisim"/>
          <w:b/>
          <w:color w:val="808080" w:themeColor="background1" w:themeShade="80"/>
          <w:sz w:val="36"/>
          <w:szCs w:val="36"/>
          <w:lang w:val="es-ES_tradnl"/>
        </w:rPr>
        <w:lastRenderedPageBreak/>
        <w:t xml:space="preserve">Mesas redondas y talleres, </w:t>
      </w:r>
      <w:r w:rsidR="00511E76" w:rsidRPr="000A1DB0">
        <w:rPr>
          <w:rFonts w:asciiTheme="majorHAnsi" w:eastAsia="MS Gothic" w:hAnsiTheme="majorHAnsi" w:cs="Narkisim"/>
          <w:b/>
          <w:color w:val="808080" w:themeColor="background1" w:themeShade="80"/>
          <w:sz w:val="36"/>
          <w:szCs w:val="36"/>
          <w:lang w:val="es-ES_tradnl"/>
        </w:rPr>
        <w:t>14:00 – 17:</w:t>
      </w:r>
      <w:r w:rsidRPr="000A1DB0">
        <w:rPr>
          <w:rFonts w:asciiTheme="majorHAnsi" w:eastAsia="MS Gothic" w:hAnsiTheme="majorHAnsi" w:cs="Narkisim"/>
          <w:b/>
          <w:color w:val="808080" w:themeColor="background1" w:themeShade="80"/>
          <w:sz w:val="36"/>
          <w:szCs w:val="36"/>
          <w:lang w:val="es-ES_tradnl"/>
        </w:rPr>
        <w:t>30</w:t>
      </w:r>
    </w:p>
    <w:p w:rsidR="004F4D94" w:rsidRPr="00F820C9" w:rsidRDefault="004F4D94" w:rsidP="00CD7711">
      <w:pPr>
        <w:spacing w:after="0"/>
        <w:ind w:left="426" w:right="429"/>
        <w:jc w:val="both"/>
        <w:rPr>
          <w:rFonts w:asciiTheme="majorHAnsi" w:eastAsia="MS Gothic" w:hAnsiTheme="majorHAnsi" w:cs="Narkisim"/>
          <w:b/>
          <w:sz w:val="24"/>
          <w:szCs w:val="24"/>
          <w:lang w:val="es-ES_tradnl"/>
        </w:rPr>
      </w:pPr>
      <w:r w:rsidRPr="00F820C9">
        <w:rPr>
          <w:rFonts w:asciiTheme="majorHAnsi" w:eastAsia="MS Gothic" w:hAnsiTheme="majorHAnsi" w:cs="Narkisim"/>
          <w:b/>
          <w:sz w:val="24"/>
          <w:szCs w:val="24"/>
          <w:lang w:val="es-ES_tradnl"/>
        </w:rPr>
        <w:t>Mesa redonda de EFP</w:t>
      </w:r>
    </w:p>
    <w:p w:rsidR="00D802D3" w:rsidRPr="00F820C9" w:rsidRDefault="004F4D94" w:rsidP="00CD7711">
      <w:pPr>
        <w:spacing w:after="0"/>
        <w:ind w:left="426" w:right="429"/>
        <w:jc w:val="both"/>
        <w:rPr>
          <w:rFonts w:asciiTheme="majorHAnsi" w:eastAsia="MS Gothic" w:hAnsiTheme="majorHAnsi" w:cs="Narkisim"/>
          <w:b/>
          <w:color w:val="808080" w:themeColor="background1" w:themeShade="80"/>
          <w:sz w:val="24"/>
          <w:szCs w:val="24"/>
          <w:lang w:val="es-ES_tradnl"/>
        </w:rPr>
      </w:pPr>
      <w:r w:rsidRPr="00F820C9">
        <w:rPr>
          <w:rFonts w:asciiTheme="majorHAnsi" w:eastAsia="MS Gothic" w:hAnsiTheme="majorHAnsi" w:cs="Narkisim"/>
          <w:b/>
          <w:color w:val="808080" w:themeColor="background1" w:themeShade="80"/>
          <w:sz w:val="24"/>
          <w:szCs w:val="24"/>
          <w:lang w:val="es-ES_tradnl"/>
        </w:rPr>
        <w:t>Sala</w:t>
      </w:r>
      <w:r w:rsidR="00D802D3" w:rsidRPr="00F820C9">
        <w:rPr>
          <w:rFonts w:asciiTheme="majorHAnsi" w:eastAsia="MS Gothic" w:hAnsiTheme="majorHAnsi" w:cs="Narkisim"/>
          <w:b/>
          <w:color w:val="808080" w:themeColor="background1" w:themeShade="80"/>
          <w:sz w:val="24"/>
          <w:szCs w:val="24"/>
          <w:lang w:val="es-ES_tradnl"/>
        </w:rPr>
        <w:t xml:space="preserve"> 206/208</w:t>
      </w:r>
    </w:p>
    <w:p w:rsidR="00D802D3" w:rsidRDefault="00D74A55" w:rsidP="00CD7711">
      <w:pPr>
        <w:spacing w:after="0"/>
        <w:ind w:left="426" w:right="429"/>
        <w:jc w:val="both"/>
        <w:rPr>
          <w:rFonts w:asciiTheme="majorHAnsi" w:eastAsia="MS Gothic" w:hAnsiTheme="majorHAnsi" w:cs="Narkisim"/>
          <w:lang w:val="es-ES_tradnl"/>
        </w:rPr>
      </w:pPr>
      <w:r w:rsidRPr="00F820C9">
        <w:rPr>
          <w:rFonts w:asciiTheme="majorHAnsi" w:eastAsia="MS Gothic" w:hAnsiTheme="majorHAnsi" w:cs="Narkisim"/>
          <w:lang w:val="es-ES_tradnl"/>
        </w:rPr>
        <w:t>Esta sesión se inspira en la labor del Grupo de Trabajo de la IE sobre la Enseñanza y la Formación Profesional para centrarse en las tendencias, los debates y las controversias más importantes del sector. Entre los temas que se abordarán se incluyen la repercusión de la privatización, la situación de docentes y formadores de la EFP, la equidad de género en la EFP y las competencias ecológicas. Los participantes tendrán que identificar prioridades de investigación, políticas y campañas para la IE y sus afiliadas.</w:t>
      </w:r>
    </w:p>
    <w:p w:rsidR="00592634" w:rsidRDefault="00592634" w:rsidP="00CD7711">
      <w:pPr>
        <w:spacing w:after="0"/>
        <w:ind w:left="426" w:right="429"/>
        <w:jc w:val="both"/>
        <w:rPr>
          <w:rFonts w:asciiTheme="majorHAnsi" w:eastAsia="MS Gothic" w:hAnsiTheme="majorHAnsi" w:cs="Narkisim"/>
          <w:lang w:val="es-ES_tradnl"/>
        </w:rPr>
      </w:pPr>
    </w:p>
    <w:p w:rsidR="00592634" w:rsidRPr="00592634" w:rsidRDefault="00592634" w:rsidP="00592634">
      <w:pPr>
        <w:spacing w:after="0"/>
        <w:ind w:left="426" w:right="429" w:firstLine="294"/>
        <w:jc w:val="both"/>
        <w:rPr>
          <w:rFonts w:asciiTheme="majorHAnsi" w:eastAsia="MS Gothic" w:hAnsiTheme="majorHAnsi" w:cs="Narkisim"/>
          <w:i/>
          <w:lang w:val="es-ES_tradnl"/>
        </w:rPr>
      </w:pPr>
      <w:r w:rsidRPr="00592634">
        <w:rPr>
          <w:rFonts w:asciiTheme="majorHAnsi" w:eastAsia="MS Gothic" w:hAnsiTheme="majorHAnsi" w:cs="Narkisim"/>
          <w:i/>
          <w:lang w:val="es-ES_tradnl"/>
        </w:rPr>
        <w:t>Discursos de bienvenida:</w:t>
      </w:r>
      <w:r w:rsidRPr="00592634">
        <w:rPr>
          <w:rFonts w:asciiTheme="majorHAnsi" w:eastAsia="MS Gothic" w:hAnsiTheme="majorHAnsi" w:cs="Narkisim"/>
          <w:i/>
          <w:lang w:val="es-ES_tradnl"/>
        </w:rPr>
        <w:tab/>
        <w:t xml:space="preserve">David Edwards, Internacional de la Educación </w:t>
      </w:r>
    </w:p>
    <w:p w:rsidR="00592634" w:rsidRPr="00592634" w:rsidRDefault="00592634" w:rsidP="00592634">
      <w:pPr>
        <w:spacing w:after="0"/>
        <w:ind w:left="426" w:right="429"/>
        <w:jc w:val="both"/>
        <w:rPr>
          <w:rFonts w:asciiTheme="majorHAnsi" w:eastAsia="MS Gothic" w:hAnsiTheme="majorHAnsi" w:cs="Narkisim"/>
          <w:i/>
          <w:lang w:val="es-ES_tradnl"/>
        </w:rPr>
      </w:pPr>
    </w:p>
    <w:p w:rsidR="00592634" w:rsidRPr="00592634" w:rsidRDefault="00592634" w:rsidP="00592634">
      <w:pPr>
        <w:spacing w:after="0"/>
        <w:ind w:left="426" w:right="429" w:firstLine="294"/>
        <w:jc w:val="both"/>
        <w:rPr>
          <w:rFonts w:asciiTheme="majorHAnsi" w:eastAsia="MS Gothic" w:hAnsiTheme="majorHAnsi" w:cs="Narkisim"/>
          <w:i/>
        </w:rPr>
      </w:pPr>
      <w:proofErr w:type="spellStart"/>
      <w:r w:rsidRPr="00592634">
        <w:rPr>
          <w:rFonts w:asciiTheme="majorHAnsi" w:eastAsia="MS Gothic" w:hAnsiTheme="majorHAnsi" w:cs="Narkisim"/>
          <w:i/>
        </w:rPr>
        <w:t>Panelistas</w:t>
      </w:r>
      <w:proofErr w:type="spellEnd"/>
      <w:r w:rsidRPr="00592634">
        <w:rPr>
          <w:rFonts w:asciiTheme="majorHAnsi" w:eastAsia="MS Gothic" w:hAnsiTheme="majorHAnsi" w:cs="Narkisim"/>
          <w:i/>
        </w:rPr>
        <w:t>:</w:t>
      </w:r>
      <w:r w:rsidRPr="00592634">
        <w:rPr>
          <w:rFonts w:asciiTheme="majorHAnsi" w:eastAsia="MS Gothic" w:hAnsiTheme="majorHAnsi" w:cs="Narkisim"/>
          <w:i/>
        </w:rPr>
        <w:tab/>
      </w:r>
      <w:r w:rsidRPr="00592634">
        <w:rPr>
          <w:rFonts w:asciiTheme="majorHAnsi" w:eastAsia="MS Gothic" w:hAnsiTheme="majorHAnsi" w:cs="Narkisim"/>
          <w:i/>
        </w:rPr>
        <w:tab/>
      </w:r>
      <w:r w:rsidRPr="00592634">
        <w:rPr>
          <w:rFonts w:asciiTheme="majorHAnsi" w:eastAsia="MS Gothic" w:hAnsiTheme="majorHAnsi" w:cs="Narkisim"/>
          <w:i/>
        </w:rPr>
        <w:tab/>
        <w:t>Pat Forward, AEU (Australia)</w:t>
      </w:r>
    </w:p>
    <w:p w:rsidR="00592634" w:rsidRPr="00592634" w:rsidRDefault="00592634" w:rsidP="00592634">
      <w:pPr>
        <w:spacing w:after="0"/>
        <w:ind w:left="426" w:right="429"/>
        <w:jc w:val="both"/>
        <w:rPr>
          <w:rFonts w:asciiTheme="majorHAnsi" w:eastAsia="MS Gothic" w:hAnsiTheme="majorHAnsi" w:cs="Narkisim"/>
          <w:i/>
          <w:lang w:val="es-ES_tradnl"/>
        </w:rPr>
      </w:pPr>
      <w:r w:rsidRPr="00592634">
        <w:rPr>
          <w:rFonts w:asciiTheme="majorHAnsi" w:eastAsia="MS Gothic" w:hAnsiTheme="majorHAnsi" w:cs="Narkisim"/>
          <w:i/>
        </w:rPr>
        <w:tab/>
      </w:r>
      <w:r w:rsidRPr="00592634">
        <w:rPr>
          <w:rFonts w:asciiTheme="majorHAnsi" w:eastAsia="MS Gothic" w:hAnsiTheme="majorHAnsi" w:cs="Narkisim"/>
          <w:i/>
        </w:rPr>
        <w:tab/>
      </w:r>
      <w:r w:rsidRPr="00592634">
        <w:rPr>
          <w:rFonts w:asciiTheme="majorHAnsi" w:eastAsia="MS Gothic" w:hAnsiTheme="majorHAnsi" w:cs="Narkisim"/>
          <w:i/>
        </w:rPr>
        <w:tab/>
      </w:r>
      <w:r>
        <w:rPr>
          <w:rFonts w:asciiTheme="majorHAnsi" w:eastAsia="MS Gothic" w:hAnsiTheme="majorHAnsi" w:cs="Narkisim"/>
          <w:i/>
        </w:rPr>
        <w:tab/>
      </w:r>
      <w:r w:rsidRPr="00592634">
        <w:rPr>
          <w:rFonts w:asciiTheme="majorHAnsi" w:eastAsia="MS Gothic" w:hAnsiTheme="majorHAnsi" w:cs="Narkisim"/>
          <w:i/>
        </w:rPr>
        <w:tab/>
      </w:r>
      <w:proofErr w:type="spellStart"/>
      <w:r w:rsidRPr="00592634">
        <w:rPr>
          <w:rFonts w:asciiTheme="majorHAnsi" w:eastAsia="MS Gothic" w:hAnsiTheme="majorHAnsi" w:cs="Narkisim"/>
          <w:i/>
          <w:lang w:val="es-ES_tradnl"/>
        </w:rPr>
        <w:t>Monique</w:t>
      </w:r>
      <w:proofErr w:type="spellEnd"/>
      <w:r w:rsidRPr="00592634">
        <w:rPr>
          <w:rFonts w:asciiTheme="majorHAnsi" w:eastAsia="MS Gothic" w:hAnsiTheme="majorHAnsi" w:cs="Narkisim"/>
          <w:i/>
          <w:lang w:val="es-ES_tradnl"/>
        </w:rPr>
        <w:t xml:space="preserve"> </w:t>
      </w:r>
      <w:proofErr w:type="spellStart"/>
      <w:r w:rsidRPr="00592634">
        <w:rPr>
          <w:rFonts w:asciiTheme="majorHAnsi" w:eastAsia="MS Gothic" w:hAnsiTheme="majorHAnsi" w:cs="Narkisim"/>
          <w:i/>
          <w:lang w:val="es-ES_tradnl"/>
        </w:rPr>
        <w:t>Fouilhoux</w:t>
      </w:r>
      <w:proofErr w:type="spellEnd"/>
      <w:r w:rsidRPr="00592634">
        <w:rPr>
          <w:rFonts w:asciiTheme="majorHAnsi" w:eastAsia="MS Gothic" w:hAnsiTheme="majorHAnsi" w:cs="Narkisim"/>
          <w:i/>
          <w:lang w:val="es-ES_tradnl"/>
        </w:rPr>
        <w:t xml:space="preserve">, Internacional de la Educación </w:t>
      </w:r>
    </w:p>
    <w:p w:rsidR="00592634" w:rsidRPr="00592634" w:rsidRDefault="00592634" w:rsidP="00592634">
      <w:pPr>
        <w:spacing w:after="0"/>
        <w:ind w:left="426" w:right="429"/>
        <w:jc w:val="both"/>
        <w:rPr>
          <w:rFonts w:asciiTheme="majorHAnsi" w:eastAsia="MS Gothic" w:hAnsiTheme="majorHAnsi" w:cs="Narkisim"/>
          <w:i/>
          <w:lang w:val="es-ES_tradnl"/>
        </w:rPr>
      </w:pPr>
      <w:r w:rsidRPr="00592634">
        <w:rPr>
          <w:rFonts w:asciiTheme="majorHAnsi" w:eastAsia="MS Gothic" w:hAnsiTheme="majorHAnsi" w:cs="Narkisim"/>
          <w:i/>
          <w:lang w:val="es-ES_tradnl"/>
        </w:rPr>
        <w:tab/>
      </w:r>
      <w:r w:rsidRPr="00592634">
        <w:rPr>
          <w:rFonts w:asciiTheme="majorHAnsi" w:eastAsia="MS Gothic" w:hAnsiTheme="majorHAnsi" w:cs="Narkisim"/>
          <w:i/>
          <w:lang w:val="es-ES_tradnl"/>
        </w:rPr>
        <w:tab/>
      </w:r>
      <w:r w:rsidRPr="00592634">
        <w:rPr>
          <w:rFonts w:asciiTheme="majorHAnsi" w:eastAsia="MS Gothic" w:hAnsiTheme="majorHAnsi" w:cs="Narkisim"/>
          <w:i/>
          <w:lang w:val="es-ES_tradnl"/>
        </w:rPr>
        <w:tab/>
      </w:r>
      <w:r>
        <w:rPr>
          <w:rFonts w:asciiTheme="majorHAnsi" w:eastAsia="MS Gothic" w:hAnsiTheme="majorHAnsi" w:cs="Narkisim"/>
          <w:i/>
          <w:lang w:val="es-ES_tradnl"/>
        </w:rPr>
        <w:tab/>
      </w:r>
      <w:r w:rsidRPr="00592634">
        <w:rPr>
          <w:rFonts w:asciiTheme="majorHAnsi" w:eastAsia="MS Gothic" w:hAnsiTheme="majorHAnsi" w:cs="Narkisim"/>
          <w:i/>
          <w:lang w:val="es-ES_tradnl"/>
        </w:rPr>
        <w:tab/>
        <w:t xml:space="preserve">Christian </w:t>
      </w:r>
      <w:proofErr w:type="spellStart"/>
      <w:r w:rsidRPr="00592634">
        <w:rPr>
          <w:rFonts w:asciiTheme="majorHAnsi" w:eastAsia="MS Gothic" w:hAnsiTheme="majorHAnsi" w:cs="Narkisim"/>
          <w:i/>
          <w:lang w:val="es-ES_tradnl"/>
        </w:rPr>
        <w:t>Addai-Poku</w:t>
      </w:r>
      <w:proofErr w:type="spellEnd"/>
      <w:r w:rsidRPr="00592634">
        <w:rPr>
          <w:rFonts w:asciiTheme="majorHAnsi" w:eastAsia="MS Gothic" w:hAnsiTheme="majorHAnsi" w:cs="Narkisim"/>
          <w:i/>
          <w:lang w:val="es-ES_tradnl"/>
        </w:rPr>
        <w:t>, NAGRAT (Ghana)</w:t>
      </w:r>
    </w:p>
    <w:p w:rsidR="00592634" w:rsidRPr="00F820C9" w:rsidRDefault="00592634" w:rsidP="00592634">
      <w:pPr>
        <w:spacing w:after="0"/>
        <w:ind w:left="426" w:right="429"/>
        <w:jc w:val="both"/>
        <w:rPr>
          <w:rFonts w:asciiTheme="majorHAnsi" w:eastAsia="MS Gothic" w:hAnsiTheme="majorHAnsi" w:cs="Narkisim"/>
          <w:lang w:val="es-ES_tradnl"/>
        </w:rPr>
      </w:pPr>
      <w:r w:rsidRPr="00592634">
        <w:rPr>
          <w:rFonts w:asciiTheme="majorHAnsi" w:eastAsia="MS Gothic" w:hAnsiTheme="majorHAnsi" w:cs="Narkisim"/>
          <w:i/>
          <w:lang w:val="es-ES_tradnl"/>
        </w:rPr>
        <w:tab/>
      </w:r>
      <w:r w:rsidRPr="00592634">
        <w:rPr>
          <w:rFonts w:asciiTheme="majorHAnsi" w:eastAsia="MS Gothic" w:hAnsiTheme="majorHAnsi" w:cs="Narkisim"/>
          <w:i/>
          <w:lang w:val="es-ES_tradnl"/>
        </w:rPr>
        <w:tab/>
      </w:r>
      <w:r w:rsidRPr="00592634">
        <w:rPr>
          <w:rFonts w:asciiTheme="majorHAnsi" w:eastAsia="MS Gothic" w:hAnsiTheme="majorHAnsi" w:cs="Narkisim"/>
          <w:i/>
          <w:lang w:val="es-ES_tradnl"/>
        </w:rPr>
        <w:tab/>
      </w:r>
      <w:r>
        <w:rPr>
          <w:rFonts w:asciiTheme="majorHAnsi" w:eastAsia="MS Gothic" w:hAnsiTheme="majorHAnsi" w:cs="Narkisim"/>
          <w:i/>
          <w:lang w:val="es-ES_tradnl"/>
        </w:rPr>
        <w:tab/>
      </w:r>
      <w:r w:rsidRPr="00592634">
        <w:rPr>
          <w:rFonts w:asciiTheme="majorHAnsi" w:eastAsia="MS Gothic" w:hAnsiTheme="majorHAnsi" w:cs="Narkisim"/>
          <w:i/>
          <w:lang w:val="es-ES_tradnl"/>
        </w:rPr>
        <w:tab/>
        <w:t>David Robinson, CAUT/ACPPU (Canadá)</w:t>
      </w:r>
    </w:p>
    <w:p w:rsidR="00D74A55" w:rsidRDefault="00D74A55" w:rsidP="00CD7711">
      <w:pPr>
        <w:spacing w:after="0"/>
        <w:ind w:left="426" w:right="429"/>
        <w:jc w:val="both"/>
        <w:rPr>
          <w:rFonts w:asciiTheme="majorHAnsi" w:eastAsia="MS Gothic" w:hAnsiTheme="majorHAnsi" w:cs="Narkisim"/>
          <w:sz w:val="24"/>
          <w:szCs w:val="24"/>
          <w:lang w:val="es-ES_tradnl"/>
        </w:rPr>
      </w:pPr>
    </w:p>
    <w:p w:rsidR="00592634" w:rsidRPr="00F820C9" w:rsidRDefault="00592634" w:rsidP="00CD7711">
      <w:pPr>
        <w:spacing w:after="0"/>
        <w:ind w:left="426" w:right="429"/>
        <w:jc w:val="both"/>
        <w:rPr>
          <w:rFonts w:asciiTheme="majorHAnsi" w:eastAsia="MS Gothic" w:hAnsiTheme="majorHAnsi" w:cs="Narkisim"/>
          <w:sz w:val="24"/>
          <w:szCs w:val="24"/>
          <w:lang w:val="es-ES_tradnl"/>
        </w:rPr>
      </w:pPr>
    </w:p>
    <w:p w:rsidR="00D74A55" w:rsidRPr="00F820C9" w:rsidRDefault="00D74A55" w:rsidP="00CD7711">
      <w:pPr>
        <w:spacing w:after="0"/>
        <w:ind w:left="426" w:right="429"/>
        <w:jc w:val="both"/>
        <w:rPr>
          <w:rFonts w:asciiTheme="majorHAnsi" w:eastAsia="MS Gothic" w:hAnsiTheme="majorHAnsi" w:cs="Narkisim"/>
          <w:b/>
          <w:sz w:val="24"/>
          <w:szCs w:val="24"/>
          <w:lang w:val="es-ES_tradnl"/>
        </w:rPr>
      </w:pPr>
      <w:r w:rsidRPr="00F820C9">
        <w:rPr>
          <w:rFonts w:asciiTheme="majorHAnsi" w:eastAsia="MS Gothic" w:hAnsiTheme="majorHAnsi" w:cs="Narkisim"/>
          <w:b/>
          <w:sz w:val="24"/>
          <w:szCs w:val="24"/>
          <w:lang w:val="es-ES_tradnl"/>
        </w:rPr>
        <w:t>Del empleo fijo al empleo temporal en la FCS: mesa redonda</w:t>
      </w:r>
    </w:p>
    <w:p w:rsidR="00D802D3" w:rsidRPr="00F820C9" w:rsidRDefault="004F4D94" w:rsidP="00CD7711">
      <w:pPr>
        <w:spacing w:after="0"/>
        <w:ind w:left="426" w:right="429"/>
        <w:jc w:val="both"/>
        <w:rPr>
          <w:rFonts w:asciiTheme="majorHAnsi" w:eastAsia="MS Gothic" w:hAnsiTheme="majorHAnsi" w:cs="Narkisim"/>
          <w:b/>
          <w:color w:val="808080" w:themeColor="background1" w:themeShade="80"/>
          <w:sz w:val="24"/>
          <w:szCs w:val="24"/>
          <w:lang w:val="es-ES_tradnl"/>
        </w:rPr>
      </w:pPr>
      <w:r w:rsidRPr="00F820C9">
        <w:rPr>
          <w:rFonts w:asciiTheme="majorHAnsi" w:eastAsia="MS Gothic" w:hAnsiTheme="majorHAnsi" w:cs="Narkisim"/>
          <w:b/>
          <w:color w:val="808080" w:themeColor="background1" w:themeShade="80"/>
          <w:sz w:val="24"/>
          <w:szCs w:val="24"/>
          <w:lang w:val="es-ES_tradnl"/>
        </w:rPr>
        <w:t>Sala</w:t>
      </w:r>
      <w:r w:rsidR="00D802D3" w:rsidRPr="00F820C9">
        <w:rPr>
          <w:rFonts w:asciiTheme="majorHAnsi" w:eastAsia="MS Gothic" w:hAnsiTheme="majorHAnsi" w:cs="Narkisim"/>
          <w:b/>
          <w:color w:val="808080" w:themeColor="background1" w:themeShade="80"/>
          <w:sz w:val="24"/>
          <w:szCs w:val="24"/>
          <w:lang w:val="es-ES_tradnl"/>
        </w:rPr>
        <w:t xml:space="preserve"> 212</w:t>
      </w:r>
    </w:p>
    <w:p w:rsidR="00D802D3" w:rsidRPr="00F820C9" w:rsidRDefault="00D74A55" w:rsidP="00CD7711">
      <w:pPr>
        <w:spacing w:after="0"/>
        <w:ind w:left="426" w:right="429"/>
        <w:jc w:val="both"/>
        <w:rPr>
          <w:rFonts w:asciiTheme="majorHAnsi" w:eastAsia="MS Gothic" w:hAnsiTheme="majorHAnsi" w:cs="Narkisim"/>
          <w:lang w:val="es-ES_tradnl"/>
        </w:rPr>
      </w:pPr>
      <w:r w:rsidRPr="00F820C9">
        <w:rPr>
          <w:rFonts w:asciiTheme="majorHAnsi" w:eastAsia="MS Gothic" w:hAnsiTheme="majorHAnsi" w:cs="Narkisim"/>
          <w:lang w:val="es-ES_tradnl"/>
        </w:rPr>
        <w:t>En esta sesión se analizarán cómo las afiliadas de FCS se enfrentan a los desafíos que surgen del creciente uso y explotación del personal contratado con contratos fijos. Los integrantes del panel debatirán las estrategias, las tácticas y los instrumentos que sirven para contrarrestar el empleo precario en el sector, desde respuestas legislativas y normativas hasta la negociación, la organización y la creación de campañas colectivas. En base a casos de prácticas recomendadas, se animará a los participantes a considerar qué iniciativas se aplicarían mejor en sus contextos nacionales.</w:t>
      </w:r>
    </w:p>
    <w:p w:rsidR="00D74A55" w:rsidRPr="00F820C9" w:rsidRDefault="00D74A55" w:rsidP="00CD7711">
      <w:pPr>
        <w:spacing w:after="0"/>
        <w:ind w:left="426" w:right="429"/>
        <w:jc w:val="both"/>
        <w:rPr>
          <w:rFonts w:asciiTheme="majorHAnsi" w:eastAsia="MS Gothic" w:hAnsiTheme="majorHAnsi" w:cs="Narkisim"/>
          <w:sz w:val="24"/>
          <w:szCs w:val="24"/>
          <w:lang w:val="es-ES_tradnl"/>
        </w:rPr>
      </w:pPr>
    </w:p>
    <w:p w:rsidR="00592634" w:rsidRPr="00592634" w:rsidRDefault="00592634" w:rsidP="00592634">
      <w:pPr>
        <w:ind w:left="426" w:right="429" w:firstLine="294"/>
        <w:jc w:val="both"/>
        <w:rPr>
          <w:rFonts w:asciiTheme="majorHAnsi" w:eastAsia="MS Gothic" w:hAnsiTheme="majorHAnsi" w:cs="Narkisim"/>
          <w:i/>
          <w:lang w:val="es-ES_tradnl"/>
        </w:rPr>
      </w:pPr>
      <w:r w:rsidRPr="00592634">
        <w:rPr>
          <w:rFonts w:asciiTheme="majorHAnsi" w:eastAsia="MS Gothic" w:hAnsiTheme="majorHAnsi" w:cs="Narkisim"/>
          <w:i/>
          <w:lang w:val="es-ES_tradnl"/>
        </w:rPr>
        <w:t>Presidente:</w:t>
      </w:r>
      <w:r w:rsidRPr="00592634">
        <w:rPr>
          <w:rFonts w:asciiTheme="majorHAnsi" w:eastAsia="MS Gothic" w:hAnsiTheme="majorHAnsi" w:cs="Narkisim"/>
          <w:i/>
          <w:lang w:val="es-ES_tradnl"/>
        </w:rPr>
        <w:tab/>
        <w:t>Sandra Grey, TEU (Nueva Zelanda)</w:t>
      </w:r>
    </w:p>
    <w:p w:rsidR="00592634" w:rsidRPr="00592634" w:rsidRDefault="00592634" w:rsidP="00592634">
      <w:pPr>
        <w:spacing w:after="0"/>
        <w:ind w:left="426" w:right="429" w:firstLine="294"/>
        <w:jc w:val="both"/>
        <w:rPr>
          <w:rFonts w:asciiTheme="majorHAnsi" w:eastAsia="MS Gothic" w:hAnsiTheme="majorHAnsi" w:cs="Narkisim"/>
          <w:i/>
          <w:lang w:val="es-ES_tradnl"/>
        </w:rPr>
      </w:pPr>
      <w:r w:rsidRPr="00592634">
        <w:rPr>
          <w:rFonts w:asciiTheme="majorHAnsi" w:eastAsia="MS Gothic" w:hAnsiTheme="majorHAnsi" w:cs="Narkisim"/>
          <w:i/>
          <w:lang w:val="es-ES_tradnl"/>
        </w:rPr>
        <w:t>Panelistas:</w:t>
      </w:r>
      <w:r w:rsidRPr="00592634">
        <w:rPr>
          <w:rFonts w:asciiTheme="majorHAnsi" w:eastAsia="MS Gothic" w:hAnsiTheme="majorHAnsi" w:cs="Narkisim"/>
          <w:i/>
          <w:lang w:val="es-ES_tradnl"/>
        </w:rPr>
        <w:tab/>
      </w:r>
      <w:r w:rsidRPr="00592634">
        <w:rPr>
          <w:rFonts w:asciiTheme="majorHAnsi" w:eastAsia="MS Gothic" w:hAnsiTheme="majorHAnsi" w:cs="Narkisim"/>
          <w:i/>
          <w:lang w:val="es-ES_tradnl"/>
        </w:rPr>
        <w:tab/>
        <w:t xml:space="preserve">Andreas </w:t>
      </w:r>
      <w:proofErr w:type="spellStart"/>
      <w:r w:rsidRPr="00592634">
        <w:rPr>
          <w:rFonts w:asciiTheme="majorHAnsi" w:eastAsia="MS Gothic" w:hAnsiTheme="majorHAnsi" w:cs="Narkisim"/>
          <w:i/>
          <w:lang w:val="es-ES_tradnl"/>
        </w:rPr>
        <w:t>Keller</w:t>
      </w:r>
      <w:proofErr w:type="spellEnd"/>
      <w:r w:rsidRPr="00592634">
        <w:rPr>
          <w:rFonts w:asciiTheme="majorHAnsi" w:eastAsia="MS Gothic" w:hAnsiTheme="majorHAnsi" w:cs="Narkisim"/>
          <w:i/>
          <w:lang w:val="es-ES_tradnl"/>
        </w:rPr>
        <w:t>, GEW (Alemania)</w:t>
      </w:r>
    </w:p>
    <w:p w:rsidR="00592634" w:rsidRPr="00592634" w:rsidRDefault="00592634" w:rsidP="00592634">
      <w:pPr>
        <w:spacing w:after="0"/>
        <w:ind w:left="426" w:right="429"/>
        <w:jc w:val="both"/>
        <w:rPr>
          <w:rFonts w:asciiTheme="majorHAnsi" w:eastAsia="MS Gothic" w:hAnsiTheme="majorHAnsi" w:cs="Narkisim"/>
          <w:i/>
          <w:lang w:val="es-ES_tradnl"/>
        </w:rPr>
      </w:pPr>
      <w:r w:rsidRPr="00592634">
        <w:rPr>
          <w:rFonts w:asciiTheme="majorHAnsi" w:eastAsia="MS Gothic" w:hAnsiTheme="majorHAnsi" w:cs="Narkisim"/>
          <w:i/>
          <w:lang w:val="es-ES_tradnl"/>
        </w:rPr>
        <w:tab/>
      </w:r>
      <w:r w:rsidRPr="00592634">
        <w:rPr>
          <w:rFonts w:asciiTheme="majorHAnsi" w:eastAsia="MS Gothic" w:hAnsiTheme="majorHAnsi" w:cs="Narkisim"/>
          <w:i/>
          <w:lang w:val="es-ES_tradnl"/>
        </w:rPr>
        <w:tab/>
      </w:r>
      <w:r>
        <w:rPr>
          <w:rFonts w:asciiTheme="majorHAnsi" w:eastAsia="MS Gothic" w:hAnsiTheme="majorHAnsi" w:cs="Narkisim"/>
          <w:i/>
          <w:lang w:val="es-ES_tradnl"/>
        </w:rPr>
        <w:tab/>
      </w:r>
      <w:r w:rsidRPr="00592634">
        <w:rPr>
          <w:rFonts w:asciiTheme="majorHAnsi" w:eastAsia="MS Gothic" w:hAnsiTheme="majorHAnsi" w:cs="Narkisim"/>
          <w:i/>
          <w:lang w:val="es-ES_tradnl"/>
        </w:rPr>
        <w:tab/>
      </w:r>
      <w:proofErr w:type="spellStart"/>
      <w:r w:rsidRPr="00592634">
        <w:rPr>
          <w:rFonts w:asciiTheme="majorHAnsi" w:eastAsia="MS Gothic" w:hAnsiTheme="majorHAnsi" w:cs="Narkisim"/>
          <w:i/>
          <w:lang w:val="es-ES_tradnl"/>
        </w:rPr>
        <w:t>Caroline</w:t>
      </w:r>
      <w:proofErr w:type="spellEnd"/>
      <w:r w:rsidRPr="00592634">
        <w:rPr>
          <w:rFonts w:asciiTheme="majorHAnsi" w:eastAsia="MS Gothic" w:hAnsiTheme="majorHAnsi" w:cs="Narkisim"/>
          <w:i/>
          <w:lang w:val="es-ES_tradnl"/>
        </w:rPr>
        <w:t xml:space="preserve"> </w:t>
      </w:r>
      <w:proofErr w:type="spellStart"/>
      <w:r w:rsidRPr="00592634">
        <w:rPr>
          <w:rFonts w:asciiTheme="majorHAnsi" w:eastAsia="MS Gothic" w:hAnsiTheme="majorHAnsi" w:cs="Narkisim"/>
          <w:i/>
          <w:lang w:val="es-ES_tradnl"/>
        </w:rPr>
        <w:t>Senneville</w:t>
      </w:r>
      <w:proofErr w:type="spellEnd"/>
      <w:r w:rsidRPr="00592634">
        <w:rPr>
          <w:rFonts w:asciiTheme="majorHAnsi" w:eastAsia="MS Gothic" w:hAnsiTheme="majorHAnsi" w:cs="Narkisim"/>
          <w:i/>
          <w:lang w:val="es-ES_tradnl"/>
        </w:rPr>
        <w:t>, FNEEQ-CSN (Quebec, Canadá)</w:t>
      </w:r>
    </w:p>
    <w:p w:rsidR="00592634" w:rsidRPr="00592634" w:rsidRDefault="00592634" w:rsidP="00592634">
      <w:pPr>
        <w:spacing w:after="0"/>
        <w:ind w:left="426" w:right="429"/>
        <w:jc w:val="both"/>
        <w:rPr>
          <w:rFonts w:asciiTheme="majorHAnsi" w:eastAsia="MS Gothic" w:hAnsiTheme="majorHAnsi" w:cs="Narkisim"/>
          <w:lang w:val="es-ES_tradnl"/>
        </w:rPr>
      </w:pPr>
      <w:r w:rsidRPr="00592634">
        <w:rPr>
          <w:rFonts w:asciiTheme="majorHAnsi" w:eastAsia="MS Gothic" w:hAnsiTheme="majorHAnsi" w:cs="Narkisim"/>
          <w:i/>
          <w:lang w:val="es-ES_tradnl"/>
        </w:rPr>
        <w:tab/>
      </w:r>
      <w:r w:rsidRPr="00592634">
        <w:rPr>
          <w:rFonts w:asciiTheme="majorHAnsi" w:eastAsia="MS Gothic" w:hAnsiTheme="majorHAnsi" w:cs="Narkisim"/>
          <w:i/>
          <w:lang w:val="es-ES_tradnl"/>
        </w:rPr>
        <w:tab/>
      </w:r>
      <w:r>
        <w:rPr>
          <w:rFonts w:asciiTheme="majorHAnsi" w:eastAsia="MS Gothic" w:hAnsiTheme="majorHAnsi" w:cs="Narkisim"/>
          <w:i/>
          <w:lang w:val="es-ES_tradnl"/>
        </w:rPr>
        <w:tab/>
      </w:r>
      <w:r w:rsidRPr="00592634">
        <w:rPr>
          <w:rFonts w:asciiTheme="majorHAnsi" w:eastAsia="MS Gothic" w:hAnsiTheme="majorHAnsi" w:cs="Narkisim"/>
          <w:i/>
          <w:lang w:val="es-ES_tradnl"/>
        </w:rPr>
        <w:tab/>
        <w:t>Elizabeth Lawrence, UCU (Reino Unido)</w:t>
      </w:r>
    </w:p>
    <w:p w:rsidR="00CD1FE9" w:rsidRPr="00F820C9" w:rsidRDefault="00CD1FE9" w:rsidP="00CD7711">
      <w:pPr>
        <w:ind w:left="426" w:right="429"/>
        <w:jc w:val="both"/>
        <w:rPr>
          <w:rFonts w:asciiTheme="majorHAnsi" w:eastAsia="MS Gothic" w:hAnsiTheme="majorHAnsi" w:cs="Narkisim"/>
          <w:lang w:val="es-ES_tradnl"/>
        </w:rPr>
      </w:pPr>
      <w:r w:rsidRPr="00F820C9">
        <w:rPr>
          <w:rFonts w:asciiTheme="majorHAnsi" w:eastAsia="MS Gothic" w:hAnsiTheme="majorHAnsi" w:cs="Narkisim"/>
          <w:lang w:val="es-ES_tradnl"/>
        </w:rPr>
        <w:br w:type="page"/>
      </w:r>
    </w:p>
    <w:p w:rsidR="00CD1FE9" w:rsidRPr="00F820C9" w:rsidRDefault="00CD1FE9" w:rsidP="00CD7711">
      <w:pPr>
        <w:pStyle w:val="Heading4"/>
        <w:shd w:val="clear" w:color="auto" w:fill="FFFFFF" w:themeFill="background1"/>
        <w:ind w:left="426" w:right="429"/>
        <w:jc w:val="both"/>
        <w:rPr>
          <w:rFonts w:asciiTheme="majorHAnsi" w:hAnsiTheme="majorHAnsi" w:cs="Tahoma"/>
          <w:color w:val="808080" w:themeColor="background1" w:themeShade="80"/>
          <w:sz w:val="28"/>
          <w:szCs w:val="28"/>
          <w:lang w:val="es-ES_tradnl"/>
        </w:rPr>
      </w:pPr>
      <w:r w:rsidRPr="00F820C9">
        <w:rPr>
          <w:rFonts w:asciiTheme="majorHAnsi" w:hAnsiTheme="majorHAnsi" w:cs="Tahoma"/>
          <w:color w:val="808080" w:themeColor="background1" w:themeShade="80"/>
          <w:lang w:val="es-ES_tradnl"/>
        </w:rPr>
        <w:lastRenderedPageBreak/>
        <w:t>CONCLUSIONES DE LA 8ª CONFERENCIA DE LA IE SOBRE ENSEÑANZA SUPERIOR E INVESTIGACIÓN</w:t>
      </w:r>
    </w:p>
    <w:p w:rsidR="00CD1FE9" w:rsidRPr="00F820C9" w:rsidRDefault="00CD1FE9" w:rsidP="00CD7711">
      <w:pPr>
        <w:spacing w:after="0" w:line="240" w:lineRule="auto"/>
        <w:ind w:left="426" w:right="429"/>
        <w:jc w:val="both"/>
        <w:rPr>
          <w:rFonts w:ascii="Tahoma" w:hAnsi="Tahoma" w:cs="Tahoma"/>
          <w:b/>
          <w:color w:val="F79646" w:themeColor="accent6"/>
          <w:sz w:val="20"/>
          <w:szCs w:val="20"/>
          <w:lang w:val="es-ES_tradnl"/>
        </w:rPr>
      </w:pP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sz w:val="24"/>
          <w:szCs w:val="24"/>
          <w:lang w:val="es-ES_tradnl"/>
        </w:rPr>
        <w:t>Nosotros, los participantes en la 8ª Conferencia de la Internacional de la Educación sobre Enseñanza Superior e Investigación, nos reunimos en Buenos Aires, Argentina, del 25 al 27 de septiembre de 2012 y revisamos las principales tendencias y acontecimientos políticos en nuestro sector desde la 7ª Conferencia celebrada en Vancouver, Canadá, en 2010. Expresamos nuestro más sincero agradecimiento a nuestros anfitriones, CONADU, por su cálida acogida y su generosa hospitalidad.</w:t>
      </w: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b/>
          <w:sz w:val="24"/>
          <w:szCs w:val="24"/>
          <w:lang w:val="es-ES_tradnl"/>
        </w:rPr>
        <w:t>CONSTATANDO</w:t>
      </w:r>
      <w:r w:rsidRPr="00F820C9">
        <w:rPr>
          <w:rFonts w:asciiTheme="majorHAnsi" w:hAnsiTheme="majorHAnsi" w:cs="Tahoma"/>
          <w:sz w:val="24"/>
          <w:szCs w:val="24"/>
          <w:lang w:val="es-ES_tradnl"/>
        </w:rPr>
        <w:t xml:space="preserve"> los múltiples retos que afrontan las instituciones de educación superior e investigación, los sindicatos, el personal y los estudiantes en el actual clima económico y político;</w:t>
      </w: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sz w:val="24"/>
          <w:szCs w:val="24"/>
          <w:lang w:val="es-ES_tradnl"/>
        </w:rPr>
        <w:t xml:space="preserve"> </w:t>
      </w: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b/>
          <w:sz w:val="24"/>
          <w:szCs w:val="24"/>
          <w:lang w:val="es-ES_tradnl"/>
        </w:rPr>
        <w:t>AFIRMANDO</w:t>
      </w:r>
      <w:r w:rsidRPr="00F820C9">
        <w:rPr>
          <w:rFonts w:asciiTheme="majorHAnsi" w:hAnsiTheme="majorHAnsi" w:cs="Tahoma"/>
          <w:sz w:val="24"/>
          <w:szCs w:val="24"/>
          <w:lang w:val="es-ES_tradnl"/>
        </w:rPr>
        <w:t xml:space="preserve"> que la IE y sus afiliados deben intensificar esfuerzos para defender y promover los derechos profesionales, académicos, sindicales y humanos de los docentes, investigadores y personal de la educación superior; y</w:t>
      </w: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b/>
          <w:sz w:val="24"/>
          <w:szCs w:val="24"/>
          <w:lang w:val="es-ES_tradnl"/>
        </w:rPr>
        <w:t xml:space="preserve">RECORDANDO </w:t>
      </w:r>
      <w:r w:rsidRPr="00F820C9">
        <w:rPr>
          <w:rFonts w:asciiTheme="majorHAnsi" w:hAnsiTheme="majorHAnsi" w:cs="Tahoma"/>
          <w:sz w:val="24"/>
          <w:szCs w:val="24"/>
          <w:lang w:val="es-ES_tradnl"/>
        </w:rPr>
        <w:t>la política de la IE que afirma que la investigación y educación superior es un servicio público y que es por tanto responsabilidad de las autoridades públicas prevenir la mercantilización y el comercio en la educación y la propiedad intelectual, la precarización del empleo en el sector, la aplicación de modelos de gestión del sector privado y con ánimo de lucro en las instituciones, así como la privatización de la provisión;</w:t>
      </w: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b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b/>
          <w:sz w:val="24"/>
          <w:szCs w:val="24"/>
          <w:lang w:val="es-ES_tradnl"/>
        </w:rPr>
        <w:t>Recomendamos al Consejo Ejecutivo de la IE:</w:t>
      </w: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b/>
          <w:sz w:val="24"/>
          <w:szCs w:val="24"/>
          <w:lang w:val="es-ES_tradnl"/>
        </w:rPr>
      </w:pPr>
    </w:p>
    <w:p w:rsidR="00CD1FE9" w:rsidRDefault="00CD1FE9" w:rsidP="00CD7711">
      <w:pPr>
        <w:pStyle w:val="ListParagraph"/>
        <w:numPr>
          <w:ilvl w:val="0"/>
          <w:numId w:val="12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 xml:space="preserve">La adopción de la Declaración Política de la Internacional de la Educación sobre los Derechos de Matrícula, donde se afirma que no deberían cobrarse derechos de matrícula y que ahí donde existan tendrían que ser progresivamente reducidos con el objetivo final de suprimirlos. </w:t>
      </w:r>
    </w:p>
    <w:p w:rsidR="00BA03D2" w:rsidRPr="00CD7711" w:rsidRDefault="00BA03D2" w:rsidP="00BA03D2">
      <w:pPr>
        <w:pStyle w:val="ListParagraph"/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Default="00CD1FE9" w:rsidP="00CD7711">
      <w:pPr>
        <w:pStyle w:val="ListParagraph"/>
        <w:numPr>
          <w:ilvl w:val="0"/>
          <w:numId w:val="12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lastRenderedPageBreak/>
        <w:t>Que acuerde celebrar la 9ª Conferencia Internacional sobre Educación Superior e Investigación en la región de África en 2014.</w:t>
      </w:r>
    </w:p>
    <w:p w:rsidR="00BA03D2" w:rsidRPr="00BA03D2" w:rsidRDefault="00BA03D2" w:rsidP="00BA03D2">
      <w:p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b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b/>
          <w:sz w:val="24"/>
          <w:szCs w:val="24"/>
          <w:lang w:val="es-ES_tradnl"/>
        </w:rPr>
        <w:t>Recomendamos al Secretariado de la IE:</w:t>
      </w: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Default="00CD1FE9" w:rsidP="00CD7711">
      <w:pPr>
        <w:pStyle w:val="ListParagraph"/>
        <w:numPr>
          <w:ilvl w:val="0"/>
          <w:numId w:val="13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>Recopilar y distribuir información y análisis sobre el impacto de las medidas de austeridad sobre el sector de la educación superior y la investigación, como parte de la campaña Educación en Crisis, prestando especial atención al impacto sobre los términos y condiciones de empleo del personal, su estatus profesional y su libertad académica.</w:t>
      </w:r>
    </w:p>
    <w:p w:rsidR="00BA03D2" w:rsidRPr="00CD7711" w:rsidRDefault="00BA03D2" w:rsidP="00BA03D2">
      <w:pPr>
        <w:pStyle w:val="ListParagraph"/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Default="00CD1FE9" w:rsidP="00CD7711">
      <w:pPr>
        <w:pStyle w:val="ListParagraph"/>
        <w:numPr>
          <w:ilvl w:val="0"/>
          <w:numId w:val="13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>Asegurarse de que en las intervenciones ante el Banco Mundial, el FMI, el G-20 y otras organizaciones multilaterales relevantes  se haga hincapié en la importancia social y económica que tiene la inversión pública en educación superior e investigación, particularme</w:t>
      </w:r>
      <w:r w:rsidR="00BA03D2">
        <w:rPr>
          <w:rFonts w:asciiTheme="majorHAnsi" w:hAnsiTheme="majorHAnsi" w:cs="Tahoma"/>
          <w:sz w:val="24"/>
          <w:szCs w:val="24"/>
          <w:lang w:val="es-ES_tradnl"/>
        </w:rPr>
        <w:t>nte en los países en desarrollo.</w:t>
      </w:r>
    </w:p>
    <w:p w:rsidR="00BA03D2" w:rsidRPr="00BA03D2" w:rsidRDefault="00BA03D2" w:rsidP="00BA03D2">
      <w:p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Default="00CD1FE9" w:rsidP="00CD7711">
      <w:pPr>
        <w:pStyle w:val="ListParagraph"/>
        <w:numPr>
          <w:ilvl w:val="0"/>
          <w:numId w:val="13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>Recabar información de las afiliadas en relación al estatus de empleo precario y de duración determinada en el sector, prestando especial atención a los/las investigadores/as recién titulados.</w:t>
      </w:r>
    </w:p>
    <w:p w:rsidR="00BA03D2" w:rsidRPr="00BA03D2" w:rsidRDefault="00BA03D2" w:rsidP="00BA03D2">
      <w:p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Default="00CD1FE9" w:rsidP="00CD7711">
      <w:pPr>
        <w:pStyle w:val="ListParagraph"/>
        <w:numPr>
          <w:ilvl w:val="0"/>
          <w:numId w:val="13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>Explorar formas para facilitar un mayor intercambio de información entre afiliados del sector de educación superior e investigación, como por ejemplo un boletín de noticias.</w:t>
      </w:r>
    </w:p>
    <w:p w:rsidR="00BA03D2" w:rsidRPr="00BA03D2" w:rsidRDefault="00BA03D2" w:rsidP="00BA03D2">
      <w:p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Default="00CD1FE9" w:rsidP="00CD7711">
      <w:pPr>
        <w:pStyle w:val="ListParagraph"/>
        <w:numPr>
          <w:ilvl w:val="0"/>
          <w:numId w:val="13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>Concentrarse en reforzar la membresía de la IE en las regiones de América Latina, África y Asia-Pacífico.</w:t>
      </w:r>
    </w:p>
    <w:p w:rsidR="00BA03D2" w:rsidRPr="00BA03D2" w:rsidRDefault="00BA03D2" w:rsidP="00BA03D2">
      <w:p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Default="00CD1FE9" w:rsidP="00CD7711">
      <w:pPr>
        <w:pStyle w:val="ListParagraph"/>
        <w:numPr>
          <w:ilvl w:val="0"/>
          <w:numId w:val="13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>Asegurarse de que los afiliados del sector de educación superior e investigación estén representados en la Red de Organizadores de la IE.</w:t>
      </w:r>
    </w:p>
    <w:p w:rsidR="00BA03D2" w:rsidRPr="00BA03D2" w:rsidRDefault="00BA03D2" w:rsidP="00BA03D2">
      <w:p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BA03D2" w:rsidRDefault="00CD1FE9" w:rsidP="00BA03D2">
      <w:pPr>
        <w:pStyle w:val="ListParagraph"/>
        <w:numPr>
          <w:ilvl w:val="0"/>
          <w:numId w:val="13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 xml:space="preserve">Proseguir los esfuerzos para oponerse a la comercialización y privatización de la educación superior y la investigación, incluyendo campañas de presión contra la cobertura de la educación y servicios relacionados en los acuerdos comerciales internacionales como el Acuerdo General sobre el Comercio de </w:t>
      </w:r>
      <w:r w:rsidRPr="00CD7711">
        <w:rPr>
          <w:rFonts w:asciiTheme="majorHAnsi" w:hAnsiTheme="majorHAnsi" w:cs="Tahoma"/>
          <w:sz w:val="24"/>
          <w:szCs w:val="24"/>
          <w:lang w:val="es-ES_tradnl"/>
        </w:rPr>
        <w:lastRenderedPageBreak/>
        <w:t>Servicios de la OMC, o el Acuerdo Internacional de Servicios recientemente propuesto.</w:t>
      </w:r>
    </w:p>
    <w:p w:rsidR="00BA03D2" w:rsidRPr="00BA03D2" w:rsidRDefault="00BA03D2" w:rsidP="00BA03D2">
      <w:p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Default="00CD1FE9" w:rsidP="00CD7711">
      <w:pPr>
        <w:pStyle w:val="ListParagraph"/>
        <w:numPr>
          <w:ilvl w:val="0"/>
          <w:numId w:val="13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>Alentar y ayudar a las afiliadas para promover la equidad para grupos desfavorecidos incluyendo mujeres, pueblos indígenas, grupos raciales, personas con minusvalías, y personas pertenecientes al colectivo de lesbianas, gay, bisexuales y transexuales.</w:t>
      </w:r>
    </w:p>
    <w:p w:rsidR="00BA03D2" w:rsidRPr="00BA03D2" w:rsidRDefault="00BA03D2" w:rsidP="00BA03D2">
      <w:p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Default="00CD1FE9" w:rsidP="00CD7711">
      <w:pPr>
        <w:pStyle w:val="ListParagraph"/>
        <w:numPr>
          <w:ilvl w:val="0"/>
          <w:numId w:val="13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 xml:space="preserve">Trabajar con UNESCO, el Banco Mundial y la OCDE para poner de relieve las consecuencias negativas que tienen los </w:t>
      </w:r>
      <w:r w:rsidRPr="00CD7711">
        <w:rPr>
          <w:rFonts w:asciiTheme="majorHAnsi" w:hAnsiTheme="majorHAnsi" w:cs="Tahoma"/>
          <w:i/>
          <w:sz w:val="24"/>
          <w:szCs w:val="24"/>
          <w:lang w:val="es-ES_tradnl"/>
        </w:rPr>
        <w:t>rankings</w:t>
      </w:r>
      <w:r w:rsidRPr="00CD7711">
        <w:rPr>
          <w:rFonts w:asciiTheme="majorHAnsi" w:hAnsiTheme="majorHAnsi" w:cs="Tahoma"/>
          <w:sz w:val="24"/>
          <w:szCs w:val="24"/>
          <w:lang w:val="es-ES_tradnl"/>
        </w:rPr>
        <w:t xml:space="preserve"> internacionales universitarios y la evaluación de resultados del aprendizaje de los alumnos.</w:t>
      </w:r>
    </w:p>
    <w:p w:rsidR="00BA03D2" w:rsidRPr="00BA03D2" w:rsidRDefault="00BA03D2" w:rsidP="00BA03D2">
      <w:p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Default="00CD1FE9" w:rsidP="00CD7711">
      <w:pPr>
        <w:pStyle w:val="ListParagraph"/>
        <w:numPr>
          <w:ilvl w:val="0"/>
          <w:numId w:val="13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>Explorar medios para promover una mayor cooperación al desarrollo e iniciativas de solidaridad internacional entre los afiliados de la educación superior y la investigación.</w:t>
      </w:r>
    </w:p>
    <w:p w:rsidR="00BA03D2" w:rsidRPr="00BA03D2" w:rsidRDefault="00BA03D2" w:rsidP="00BA03D2">
      <w:p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Pr="00CD7711" w:rsidRDefault="00CD1FE9" w:rsidP="00CD7711">
      <w:pPr>
        <w:pStyle w:val="ListParagraph"/>
        <w:numPr>
          <w:ilvl w:val="0"/>
          <w:numId w:val="13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>Intensificar la supervisión y denuncia de violaciones de la libertad académica, los derechos sindicales y las libertades civiles en el sector de la educación superior y la investigación.</w:t>
      </w:r>
    </w:p>
    <w:p w:rsidR="00CD1FE9" w:rsidRPr="00F820C9" w:rsidRDefault="00CD1FE9" w:rsidP="00CD7711">
      <w:pPr>
        <w:pStyle w:val="ListParagraph"/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b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b/>
          <w:sz w:val="24"/>
          <w:szCs w:val="24"/>
          <w:lang w:val="es-ES_tradnl"/>
        </w:rPr>
        <w:t>Instamos a los Afiliados de la IE a:</w:t>
      </w:r>
    </w:p>
    <w:p w:rsidR="00CD1FE9" w:rsidRPr="00F820C9" w:rsidRDefault="00CD1FE9" w:rsidP="00CD7711">
      <w:pPr>
        <w:spacing w:after="0"/>
        <w:ind w:left="426" w:right="429"/>
        <w:jc w:val="both"/>
        <w:rPr>
          <w:rFonts w:asciiTheme="majorHAnsi" w:hAnsiTheme="majorHAnsi" w:cs="Tahoma"/>
          <w:b/>
          <w:sz w:val="24"/>
          <w:szCs w:val="24"/>
          <w:lang w:val="es-ES_tradnl"/>
        </w:rPr>
      </w:pPr>
    </w:p>
    <w:p w:rsidR="00CD1FE9" w:rsidRDefault="00CD1FE9" w:rsidP="00CD7711">
      <w:pPr>
        <w:pStyle w:val="ListParagraph"/>
        <w:numPr>
          <w:ilvl w:val="0"/>
          <w:numId w:val="14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>Reforzar la cooperación y el intercambio de información y buenas prácticas en torno a las campañas, la sindicalización, la negociación colectiva y la promoción de la equidad en el sector.</w:t>
      </w:r>
    </w:p>
    <w:p w:rsidR="00BA03D2" w:rsidRPr="00BA03D2" w:rsidRDefault="00BA03D2" w:rsidP="00BA03D2">
      <w:p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Default="00CD1FE9" w:rsidP="00CD7711">
      <w:pPr>
        <w:pStyle w:val="ListParagraph"/>
        <w:numPr>
          <w:ilvl w:val="0"/>
          <w:numId w:val="14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>Publicar y compartir buenas prácticas, incluyendo el lenguaje utilizado en convenios colectivos, iniciativas legislativas y campañas públicas para mejorar los términos y condiciones de empleo del personal con contratos de duración determinada y promover vías para que los investigadores recién titulados puedan pasar de un empleo en prácticas a un empleo permanente y continuo.</w:t>
      </w:r>
    </w:p>
    <w:p w:rsidR="00BA03D2" w:rsidRPr="00BA03D2" w:rsidRDefault="00BA03D2" w:rsidP="00BA03D2">
      <w:p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Pr="00CD7711" w:rsidRDefault="00CD1FE9" w:rsidP="00CD7711">
      <w:pPr>
        <w:pStyle w:val="ListParagraph"/>
        <w:numPr>
          <w:ilvl w:val="0"/>
          <w:numId w:val="14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>Desarrollar y reforzar asociaciones con organizaciones de estudiantes y otros aliados.</w:t>
      </w:r>
    </w:p>
    <w:p w:rsidR="00CD1FE9" w:rsidRDefault="00CD1FE9" w:rsidP="00CD7711">
      <w:pPr>
        <w:pStyle w:val="ListParagraph"/>
        <w:numPr>
          <w:ilvl w:val="0"/>
          <w:numId w:val="14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lastRenderedPageBreak/>
        <w:t>Contribuir y participar activamente en la campaña de la IE Educación en Crisis.</w:t>
      </w:r>
    </w:p>
    <w:p w:rsidR="00BA03D2" w:rsidRPr="00BA03D2" w:rsidRDefault="00BA03D2" w:rsidP="00BA03D2">
      <w:pPr>
        <w:spacing w:after="0"/>
        <w:ind w:left="360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5A6BF5" w:rsidRPr="00CD7711" w:rsidRDefault="00CD1FE9" w:rsidP="00CD7711">
      <w:pPr>
        <w:pStyle w:val="ListParagraph"/>
        <w:numPr>
          <w:ilvl w:val="0"/>
          <w:numId w:val="14"/>
        </w:numPr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CD7711">
        <w:rPr>
          <w:rFonts w:asciiTheme="majorHAnsi" w:hAnsiTheme="majorHAnsi" w:cs="Tahoma"/>
          <w:sz w:val="24"/>
          <w:szCs w:val="24"/>
          <w:lang w:val="es-ES_tradnl"/>
        </w:rPr>
        <w:t>Consolidar la solidaridad internacional y las iniciativas de cooperación al desarrollo.</w:t>
      </w:r>
    </w:p>
    <w:p w:rsidR="005A6BF5" w:rsidRPr="00F820C9" w:rsidRDefault="005A6BF5" w:rsidP="00CD7711">
      <w:pPr>
        <w:ind w:left="426" w:right="429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sz w:val="24"/>
          <w:szCs w:val="24"/>
          <w:lang w:val="es-ES_tradnl"/>
        </w:rPr>
        <w:br w:type="page"/>
      </w:r>
    </w:p>
    <w:p w:rsidR="005A6BF5" w:rsidRPr="00BA03D2" w:rsidRDefault="005A6BF5" w:rsidP="00CD7711">
      <w:pPr>
        <w:spacing w:after="0" w:line="240" w:lineRule="auto"/>
        <w:ind w:left="426" w:right="429"/>
        <w:rPr>
          <w:rFonts w:asciiTheme="majorHAnsi" w:hAnsiTheme="majorHAnsi" w:cs="Tahoma"/>
          <w:b/>
          <w:color w:val="808080" w:themeColor="background1" w:themeShade="80"/>
          <w:sz w:val="36"/>
          <w:szCs w:val="36"/>
          <w:lang w:val="es-ES_tradnl"/>
        </w:rPr>
      </w:pPr>
      <w:r w:rsidRPr="00BA03D2">
        <w:rPr>
          <w:rFonts w:asciiTheme="majorHAnsi" w:hAnsiTheme="majorHAnsi" w:cs="Tahoma"/>
          <w:b/>
          <w:color w:val="808080" w:themeColor="background1" w:themeShade="80"/>
          <w:sz w:val="36"/>
          <w:szCs w:val="36"/>
          <w:lang w:val="es-ES_tradnl"/>
        </w:rPr>
        <w:lastRenderedPageBreak/>
        <w:t>Declaración de política de la Internacional de la Educación sobre los derechos de matrícula</w:t>
      </w:r>
    </w:p>
    <w:p w:rsidR="005A6BF5" w:rsidRPr="00F820C9" w:rsidRDefault="005A6BF5" w:rsidP="00CD7711">
      <w:pPr>
        <w:spacing w:after="0" w:line="240" w:lineRule="auto"/>
        <w:ind w:left="426" w:right="429"/>
        <w:rPr>
          <w:rFonts w:ascii="Tahoma" w:hAnsi="Tahoma" w:cs="Tahoma"/>
          <w:b/>
          <w:sz w:val="20"/>
          <w:szCs w:val="20"/>
          <w:lang w:val="es-ES_tradnl"/>
        </w:rPr>
      </w:pPr>
    </w:p>
    <w:p w:rsidR="005A6BF5" w:rsidRPr="00F820C9" w:rsidRDefault="005A6BF5" w:rsidP="00CD7711">
      <w:pPr>
        <w:spacing w:after="0" w:line="240" w:lineRule="auto"/>
        <w:ind w:left="426" w:right="429"/>
        <w:rPr>
          <w:rFonts w:ascii="Tahoma" w:hAnsi="Tahoma" w:cs="Tahoma"/>
          <w:b/>
          <w:sz w:val="20"/>
          <w:szCs w:val="20"/>
          <w:lang w:val="es-ES_tradnl"/>
        </w:rPr>
      </w:pPr>
    </w:p>
    <w:p w:rsidR="006C405E" w:rsidRPr="006C405E" w:rsidRDefault="005A6BF5" w:rsidP="00CD7711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iCs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sz w:val="24"/>
          <w:szCs w:val="24"/>
          <w:lang w:val="es-ES_tradnl"/>
        </w:rPr>
        <w:t xml:space="preserve">La participación en la educación superior de toda persona cualificada para hacerlo es un derecho consagrado en el artículo 26 de la Declaración Universal de los Derechos Humanos y en el </w:t>
      </w:r>
      <w:r w:rsidRPr="006C405E">
        <w:rPr>
          <w:rFonts w:asciiTheme="majorHAnsi" w:hAnsiTheme="majorHAnsi" w:cs="Tahoma"/>
          <w:bCs/>
          <w:sz w:val="24"/>
          <w:szCs w:val="24"/>
          <w:lang w:val="es-ES_tradnl"/>
        </w:rPr>
        <w:t xml:space="preserve">Pacto </w:t>
      </w:r>
      <w:r w:rsidRPr="006C405E">
        <w:rPr>
          <w:rFonts w:asciiTheme="majorHAnsi" w:hAnsiTheme="majorHAnsi" w:cs="Tahoma"/>
          <w:bCs/>
          <w:i/>
          <w:iCs/>
          <w:sz w:val="24"/>
          <w:szCs w:val="24"/>
          <w:lang w:val="es-ES_tradnl"/>
        </w:rPr>
        <w:t>Internacional de Derechos Económicos</w:t>
      </w:r>
      <w:r w:rsidRPr="006C405E">
        <w:rPr>
          <w:rFonts w:asciiTheme="majorHAnsi" w:hAnsiTheme="majorHAnsi" w:cs="Tahoma"/>
          <w:bCs/>
          <w:sz w:val="24"/>
          <w:szCs w:val="24"/>
          <w:lang w:val="es-ES_tradnl"/>
        </w:rPr>
        <w:t xml:space="preserve">, </w:t>
      </w:r>
      <w:r w:rsidRPr="006C405E">
        <w:rPr>
          <w:rFonts w:asciiTheme="majorHAnsi" w:hAnsiTheme="majorHAnsi" w:cs="Tahoma"/>
          <w:bCs/>
          <w:i/>
          <w:iCs/>
          <w:sz w:val="24"/>
          <w:szCs w:val="24"/>
          <w:lang w:val="es-ES_tradnl"/>
        </w:rPr>
        <w:t>Sociales</w:t>
      </w:r>
      <w:r w:rsidRPr="006C405E">
        <w:rPr>
          <w:rFonts w:asciiTheme="majorHAnsi" w:hAnsiTheme="majorHAnsi" w:cs="Tahoma"/>
          <w:bCs/>
          <w:sz w:val="24"/>
          <w:szCs w:val="24"/>
          <w:lang w:val="es-ES_tradnl"/>
        </w:rPr>
        <w:t xml:space="preserve"> y </w:t>
      </w:r>
      <w:r w:rsidRPr="006C405E">
        <w:rPr>
          <w:rFonts w:asciiTheme="majorHAnsi" w:hAnsiTheme="majorHAnsi" w:cs="Tahoma"/>
          <w:bCs/>
          <w:i/>
          <w:iCs/>
          <w:sz w:val="24"/>
          <w:szCs w:val="24"/>
          <w:lang w:val="es-ES_tradnl"/>
        </w:rPr>
        <w:t>Culturales</w:t>
      </w:r>
      <w:r w:rsidRPr="00F820C9">
        <w:rPr>
          <w:rFonts w:asciiTheme="majorHAnsi" w:hAnsiTheme="majorHAnsi" w:cs="Tahoma"/>
          <w:sz w:val="24"/>
          <w:szCs w:val="24"/>
          <w:lang w:val="es-ES_tradnl"/>
        </w:rPr>
        <w:t>:</w:t>
      </w:r>
      <w:r w:rsidRPr="00F820C9">
        <w:rPr>
          <w:rFonts w:asciiTheme="majorHAnsi" w:hAnsiTheme="majorHAnsi" w:cs="Tahoma"/>
          <w:bCs/>
          <w:sz w:val="24"/>
          <w:szCs w:val="24"/>
          <w:lang w:val="es-ES_tradnl"/>
        </w:rPr>
        <w:t xml:space="preserve"> </w:t>
      </w:r>
    </w:p>
    <w:p w:rsidR="006C405E" w:rsidRDefault="006C405E" w:rsidP="006C405E">
      <w:pPr>
        <w:pStyle w:val="ListParagraph"/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bCs/>
          <w:sz w:val="24"/>
          <w:szCs w:val="24"/>
          <w:lang w:val="es-ES_tradnl"/>
        </w:rPr>
      </w:pPr>
    </w:p>
    <w:p w:rsidR="005A6BF5" w:rsidRPr="00F820C9" w:rsidRDefault="005A6BF5" w:rsidP="006C405E">
      <w:pPr>
        <w:pStyle w:val="ListParagraph"/>
        <w:tabs>
          <w:tab w:val="left" w:pos="851"/>
        </w:tabs>
        <w:spacing w:after="0" w:line="240" w:lineRule="auto"/>
        <w:ind w:left="851" w:right="855"/>
        <w:jc w:val="both"/>
        <w:rPr>
          <w:rFonts w:asciiTheme="majorHAnsi" w:hAnsiTheme="majorHAnsi" w:cs="Tahoma"/>
          <w:iCs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i/>
          <w:sz w:val="24"/>
          <w:szCs w:val="24"/>
          <w:lang w:val="es-ES_tradnl"/>
        </w:rPr>
        <w:t>Toda persona tiene derecho a la educación. La educación debe ser gratuita, al menos en lo concerniente a la instrucción elemental y fundamental. La instrucción elemental será obligatoria. La instrucción técnica y profesional habrá de ser generalizada; el acceso a los estudios superiores será igual para todos, en función de los méritos respectivos.</w:t>
      </w:r>
    </w:p>
    <w:p w:rsidR="005A6BF5" w:rsidRPr="00F820C9" w:rsidRDefault="005A6BF5" w:rsidP="00CD7711">
      <w:pPr>
        <w:pStyle w:val="ListParagraph"/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iCs/>
          <w:sz w:val="24"/>
          <w:szCs w:val="24"/>
          <w:lang w:val="es-ES_tradnl"/>
        </w:rPr>
      </w:pPr>
    </w:p>
    <w:p w:rsidR="005A6BF5" w:rsidRPr="00F820C9" w:rsidRDefault="005A6BF5" w:rsidP="00CD7711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sz w:val="24"/>
          <w:szCs w:val="24"/>
          <w:lang w:val="es-ES_tradnl"/>
        </w:rPr>
        <w:t>La educación superior es un bien público que ha de beneficiar a toda la sociedad contribuyendo así al desarrollo social, cultural y económico.</w:t>
      </w:r>
    </w:p>
    <w:p w:rsidR="005A6BF5" w:rsidRPr="00F820C9" w:rsidRDefault="005A6BF5" w:rsidP="00CD7711">
      <w:pPr>
        <w:pStyle w:val="ListParagraph"/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5A6BF5" w:rsidRPr="00F820C9" w:rsidRDefault="005A6BF5" w:rsidP="00CD7711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sz w:val="24"/>
          <w:szCs w:val="24"/>
          <w:lang w:val="es-ES_tradnl"/>
        </w:rPr>
        <w:t>Por lo tanto, es responsabilidad de los Estados promover y garantizar el derecho a la educación superior mediante una financiación pública suficiente para cubrir todos los costos de la educación. La educación superior se financia más equitativamente a través de fondos públicos generados por un sistema del impuesto a la renta de tipo progresivo.</w:t>
      </w:r>
    </w:p>
    <w:p w:rsidR="005A6BF5" w:rsidRPr="00F820C9" w:rsidRDefault="005A6BF5" w:rsidP="00CD7711">
      <w:pPr>
        <w:pStyle w:val="ListParagraph"/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5A6BF5" w:rsidRPr="00F820C9" w:rsidRDefault="005A6BF5" w:rsidP="00CD7711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sz w:val="24"/>
          <w:szCs w:val="24"/>
          <w:lang w:val="es-ES_tradnl"/>
        </w:rPr>
        <w:t>Los derechos de matrícula, por el contrario, son derechos privados que pagan los usuarios, y que pueden distorsionar la misión académica de las instituciones educativas de la educación superior al suscitar la transformación de los estudiantes en consumidores y de los docentes en proveedores de servicios. La competencia entre las instituciones educativas para conseguir clientes de pago debilita la misión fundamental de la enseñanza y de la investigación de la universidad y desvía los recursos en gastos de comercialización, financiación, contratación y relaciones públicas.</w:t>
      </w:r>
    </w:p>
    <w:p w:rsidR="005A6BF5" w:rsidRPr="00F820C9" w:rsidRDefault="005A6BF5" w:rsidP="00CD7711">
      <w:pPr>
        <w:pStyle w:val="ListParagraph"/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5A6BF5" w:rsidRPr="00F820C9" w:rsidRDefault="005A6BF5" w:rsidP="00CD7711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sz w:val="24"/>
          <w:szCs w:val="24"/>
          <w:lang w:val="es-ES_tradnl"/>
        </w:rPr>
        <w:t>Los derechos de matrícula ejercen un impacto desproporcionadamente negativo en las mujeres, las minorías y los grupos económicamente desfavorecidos.</w:t>
      </w:r>
    </w:p>
    <w:p w:rsidR="005A6BF5" w:rsidRPr="00F820C9" w:rsidRDefault="005A6BF5" w:rsidP="00CD7711">
      <w:p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5A6BF5" w:rsidRPr="00F820C9" w:rsidRDefault="005A6BF5" w:rsidP="00CD7711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sz w:val="24"/>
          <w:szCs w:val="24"/>
          <w:lang w:val="es-ES_tradnl"/>
        </w:rPr>
        <w:t xml:space="preserve">La introducción y aumento de  tasas de ingreso han generado un mayor nivel de endeudamiento de los/as estudiantes. Esta situación supone un impacto social y económico negativo. Los altos niveles de deuda también influyen negativamente en </w:t>
      </w:r>
      <w:r w:rsidRPr="00F820C9">
        <w:rPr>
          <w:rFonts w:asciiTheme="majorHAnsi" w:hAnsiTheme="majorHAnsi" w:cs="Tahoma"/>
          <w:sz w:val="24"/>
          <w:szCs w:val="24"/>
          <w:lang w:val="es-ES_tradnl"/>
        </w:rPr>
        <w:lastRenderedPageBreak/>
        <w:t xml:space="preserve">las decisiones estudiantiles a la hora de trabajar en determinados empleos relevantes para </w:t>
      </w:r>
      <w:r w:rsidR="006C405E" w:rsidRPr="00F820C9">
        <w:rPr>
          <w:rFonts w:asciiTheme="majorHAnsi" w:hAnsiTheme="majorHAnsi" w:cs="Tahoma"/>
          <w:sz w:val="24"/>
          <w:szCs w:val="24"/>
          <w:lang w:val="es-ES_tradnl"/>
        </w:rPr>
        <w:t>él</w:t>
      </w:r>
      <w:r w:rsidRPr="00F820C9">
        <w:rPr>
          <w:rFonts w:asciiTheme="majorHAnsi" w:hAnsiTheme="majorHAnsi" w:cs="Tahoma"/>
          <w:sz w:val="24"/>
          <w:szCs w:val="24"/>
          <w:lang w:val="es-ES_tradnl"/>
        </w:rPr>
        <w:t xml:space="preserve"> o la estudiante pero de bajo salario.  En consecuencia, la principal forma de ayuda financiera directa a los/as estudiantes, incluidos los subsidios de subsistencia, debe darse a través de subvenciones basadas en las necesidades.</w:t>
      </w:r>
    </w:p>
    <w:p w:rsidR="005A6BF5" w:rsidRPr="00F820C9" w:rsidRDefault="005A6BF5" w:rsidP="00CD7711">
      <w:pPr>
        <w:pStyle w:val="ListParagraph"/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5A6BF5" w:rsidRPr="00F820C9" w:rsidRDefault="005A6BF5" w:rsidP="00CD7711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sz w:val="24"/>
          <w:szCs w:val="24"/>
          <w:lang w:val="es-ES_tradnl"/>
        </w:rPr>
        <w:t>En muchos lugares los/as estudiantes internacionales pagan matrículas universitarias extraordinariamente altas. Esta situación produce un serio impacto en la gran mayoría de los/as estudiantes de países menos desarrollados, quienes no pueden permitirse pagar esas matrículas.</w:t>
      </w:r>
    </w:p>
    <w:p w:rsidR="005A6BF5" w:rsidRPr="00F820C9" w:rsidRDefault="005A6BF5" w:rsidP="00CD7711">
      <w:pPr>
        <w:pStyle w:val="ListParagraph"/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5A6BF5" w:rsidRPr="00F820C9" w:rsidRDefault="005A6BF5" w:rsidP="00CD7711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sz w:val="24"/>
          <w:szCs w:val="24"/>
          <w:lang w:val="es-ES_tradnl"/>
        </w:rPr>
        <w:t>No deberían cobrarse derechos de matrícula a los/as estudiantes. Cuando existan derechos de matrícula, Gobiernos e Instituciones deben comprometerse a reducirlos progresivamente con el objetivo final de suprimirlos en todos los sectores de la enseñanza superior. Los programas de ayuda financiera para los/as estudiantes deben brindar oportunidades para todos aquellos/as que estén académicamente cualificados/as para participar en la educación superior.</w:t>
      </w:r>
    </w:p>
    <w:p w:rsidR="005A6BF5" w:rsidRPr="00F820C9" w:rsidRDefault="005A6BF5" w:rsidP="00CD7711">
      <w:pPr>
        <w:pStyle w:val="ListParagraph"/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</w:p>
    <w:p w:rsidR="00F820C9" w:rsidRPr="00F820C9" w:rsidRDefault="005A6BF5" w:rsidP="00CD7711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/>
        </w:rPr>
      </w:pPr>
      <w:r w:rsidRPr="00F820C9">
        <w:rPr>
          <w:rFonts w:asciiTheme="majorHAnsi" w:hAnsiTheme="majorHAnsi" w:cs="Tahoma"/>
          <w:sz w:val="24"/>
          <w:szCs w:val="24"/>
          <w:lang w:val="es-ES_tradnl"/>
        </w:rPr>
        <w:t xml:space="preserve">Los gobiernos y las instituciones deberán garantizar la supresión de todos los obstáculos a la participación, incluidos los financieros. </w:t>
      </w:r>
    </w:p>
    <w:p w:rsidR="00F820C9" w:rsidRPr="00F820C9" w:rsidRDefault="00F820C9" w:rsidP="00CD7711">
      <w:p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Pr="00F820C9" w:rsidRDefault="00F820C9" w:rsidP="00CD7711">
      <w:pPr>
        <w:ind w:left="426" w:right="429"/>
        <w:rPr>
          <w:rFonts w:asciiTheme="majorHAnsi" w:hAnsiTheme="majorHAnsi" w:cs="Tahoma"/>
          <w:b/>
          <w:sz w:val="24"/>
          <w:szCs w:val="24"/>
          <w:lang w:val="es-ES_tradnl" w:bidi="es-ES"/>
        </w:rPr>
      </w:pPr>
      <w:r w:rsidRPr="00F820C9">
        <w:rPr>
          <w:rFonts w:asciiTheme="majorHAnsi" w:hAnsiTheme="majorHAnsi" w:cs="Tahoma"/>
          <w:b/>
          <w:sz w:val="24"/>
          <w:szCs w:val="24"/>
          <w:lang w:val="es-ES_tradnl" w:bidi="es-ES"/>
        </w:rPr>
        <w:br w:type="page"/>
      </w:r>
    </w:p>
    <w:p w:rsidR="00F820C9" w:rsidRPr="00F820C9" w:rsidRDefault="00F820C9" w:rsidP="00CD7711">
      <w:p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b/>
          <w:bCs/>
          <w:color w:val="808080" w:themeColor="background1" w:themeShade="80"/>
          <w:sz w:val="44"/>
          <w:szCs w:val="44"/>
          <w:lang w:val="es-ES_tradnl" w:bidi="es-ES"/>
        </w:rPr>
      </w:pPr>
      <w:r w:rsidRPr="00F820C9">
        <w:rPr>
          <w:rFonts w:asciiTheme="majorHAnsi" w:hAnsiTheme="majorHAnsi" w:cs="Tahoma"/>
          <w:b/>
          <w:color w:val="808080" w:themeColor="background1" w:themeShade="80"/>
          <w:sz w:val="44"/>
          <w:szCs w:val="44"/>
          <w:lang w:val="es-ES_tradnl" w:bidi="es-ES"/>
        </w:rPr>
        <w:lastRenderedPageBreak/>
        <w:t xml:space="preserve">Conclusiones de la 9ª conferencia de la IE sobre educación superior e investigación </w:t>
      </w:r>
    </w:p>
    <w:p w:rsidR="00F820C9" w:rsidRPr="00F820C9" w:rsidRDefault="00F820C9" w:rsidP="00CD7711">
      <w:p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Pr="00F820C9" w:rsidRDefault="00F820C9" w:rsidP="00CD7711">
      <w:p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F820C9">
        <w:rPr>
          <w:rFonts w:asciiTheme="majorHAnsi" w:hAnsiTheme="majorHAnsi" w:cs="Tahoma"/>
          <w:sz w:val="24"/>
          <w:szCs w:val="24"/>
          <w:lang w:val="es-ES_tradnl" w:bidi="es-ES"/>
        </w:rPr>
        <w:t>La 9ª Conferencia de la Internacional de la Educación sobre Educación Superior e Investigación se celebró en Bruselas, Bélgica, del 10 al 12 de noviembre de 2014. Durante la conferencia se revisaron las tendencias y progresos más importantes en materia de políticas en nuestro sector desde la 8ª Conferencia celebrada en Buenos Aires, Argentina, en 2012.</w:t>
      </w: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F820C9">
        <w:rPr>
          <w:rFonts w:asciiTheme="majorHAnsi" w:hAnsiTheme="majorHAnsi" w:cs="Tahoma"/>
          <w:b/>
          <w:sz w:val="24"/>
          <w:szCs w:val="24"/>
          <w:lang w:val="es-ES_tradnl" w:bidi="es-ES"/>
        </w:rPr>
        <w:t>AFIRMANDO</w:t>
      </w:r>
      <w:r w:rsidRPr="00F820C9">
        <w:rPr>
          <w:rFonts w:asciiTheme="majorHAnsi" w:hAnsiTheme="majorHAnsi" w:cs="Tahoma"/>
          <w:sz w:val="24"/>
          <w:szCs w:val="24"/>
          <w:lang w:val="es-ES_tradnl" w:bidi="es-ES"/>
        </w:rPr>
        <w:t xml:space="preserve"> que la educación superior y la investigación pública de calidad son un bien público que solo puede satisfacer su papel de preservar, transmitir y fomentar el conocimiento si existe una financiación pública adecuada, si las instituciones están libres de presiones externas y si el personal académico goza de libertad académica y de términos y condiciones de empleo decentes; </w:t>
      </w: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F820C9">
        <w:rPr>
          <w:rFonts w:asciiTheme="majorHAnsi" w:hAnsiTheme="majorHAnsi" w:cs="Tahoma"/>
          <w:b/>
          <w:sz w:val="24"/>
          <w:szCs w:val="24"/>
          <w:lang w:val="es-ES_tradnl" w:bidi="es-ES"/>
        </w:rPr>
        <w:t xml:space="preserve">SEÑALANDO </w:t>
      </w:r>
      <w:r w:rsidRPr="00F820C9">
        <w:rPr>
          <w:rFonts w:asciiTheme="majorHAnsi" w:hAnsiTheme="majorHAnsi" w:cs="Tahoma"/>
          <w:sz w:val="24"/>
          <w:szCs w:val="24"/>
          <w:lang w:val="es-ES_tradnl" w:bidi="es-ES"/>
        </w:rPr>
        <w:t>con preocupación el creciente número de puestos de trabajo precarios y temporales con salarios pobres y que apenas ofrecen beneficios, si lo hacen, y apenas ofrecen seguridad o protección para el ejercicio de la libertad académica; y</w:t>
      </w: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F820C9">
        <w:rPr>
          <w:rFonts w:asciiTheme="majorHAnsi" w:hAnsiTheme="majorHAnsi" w:cs="Tahoma"/>
          <w:b/>
          <w:sz w:val="24"/>
          <w:szCs w:val="24"/>
          <w:lang w:val="es-ES_tradnl" w:bidi="es-ES"/>
        </w:rPr>
        <w:t>RECORDANDO</w:t>
      </w:r>
      <w:r w:rsidRPr="00F820C9">
        <w:rPr>
          <w:rFonts w:asciiTheme="majorHAnsi" w:hAnsiTheme="majorHAnsi" w:cs="Tahoma"/>
          <w:sz w:val="24"/>
          <w:szCs w:val="24"/>
          <w:lang w:val="es-ES_tradnl" w:bidi="es-ES"/>
        </w:rPr>
        <w:t xml:space="preserve"> que es responsabilidad de las autoridades públicas prevenir la privatización y la comercialización en la educación.</w:t>
      </w: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b/>
          <w:sz w:val="24"/>
          <w:szCs w:val="24"/>
          <w:lang w:val="es-ES_tradnl" w:bidi="es-ES"/>
        </w:rPr>
      </w:pPr>
      <w:r w:rsidRPr="00F820C9">
        <w:rPr>
          <w:rFonts w:asciiTheme="majorHAnsi" w:hAnsiTheme="majorHAnsi" w:cs="Tahoma"/>
          <w:b/>
          <w:sz w:val="24"/>
          <w:szCs w:val="24"/>
          <w:lang w:val="es-ES_tradnl" w:bidi="es-ES"/>
        </w:rPr>
        <w:t>Recomienda al Consejo Ejecutivo de la IE:</w:t>
      </w: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b/>
          <w:sz w:val="24"/>
          <w:szCs w:val="24"/>
          <w:lang w:val="es-ES_tradnl" w:bidi="es-ES"/>
        </w:rPr>
      </w:pPr>
    </w:p>
    <w:p w:rsidR="00F820C9" w:rsidRDefault="00F820C9" w:rsidP="00D15F5B">
      <w:pPr>
        <w:pStyle w:val="ListParagraph"/>
        <w:numPr>
          <w:ilvl w:val="0"/>
          <w:numId w:val="15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D15F5B">
        <w:rPr>
          <w:rFonts w:asciiTheme="majorHAnsi" w:hAnsiTheme="majorHAnsi" w:cs="Tahoma"/>
          <w:sz w:val="24"/>
          <w:szCs w:val="24"/>
          <w:lang w:val="es-ES_tradnl" w:bidi="es-ES"/>
        </w:rPr>
        <w:t>La adopción de la Declaración sobre los MOOC.</w:t>
      </w:r>
    </w:p>
    <w:p w:rsidR="00BA03D2" w:rsidRPr="00BA03D2" w:rsidRDefault="00BA03D2" w:rsidP="00BA03D2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Default="00F820C9" w:rsidP="00D15F5B">
      <w:pPr>
        <w:pStyle w:val="ListParagraph"/>
        <w:numPr>
          <w:ilvl w:val="0"/>
          <w:numId w:val="15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D15F5B">
        <w:rPr>
          <w:rFonts w:asciiTheme="majorHAnsi" w:hAnsiTheme="majorHAnsi" w:cs="Tahoma"/>
          <w:sz w:val="24"/>
          <w:szCs w:val="24"/>
          <w:lang w:val="es-ES_tradnl" w:bidi="es-ES"/>
        </w:rPr>
        <w:t>El acuerdo de celebrar la 10ª Conferencia Internacional sobre Educación Superior e Investigación en la región de África en 2016.</w:t>
      </w:r>
    </w:p>
    <w:p w:rsidR="00BA03D2" w:rsidRPr="00BA03D2" w:rsidRDefault="00BA03D2" w:rsidP="00BA03D2">
      <w:p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Default="00F820C9" w:rsidP="00D15F5B">
      <w:pPr>
        <w:pStyle w:val="ListParagraph"/>
        <w:numPr>
          <w:ilvl w:val="0"/>
          <w:numId w:val="15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D15F5B">
        <w:rPr>
          <w:rFonts w:asciiTheme="majorHAnsi" w:hAnsiTheme="majorHAnsi" w:cs="Tahoma"/>
          <w:sz w:val="24"/>
          <w:szCs w:val="24"/>
          <w:lang w:val="es-ES_tradnl" w:bidi="es-ES"/>
        </w:rPr>
        <w:t>Considerar una representación constante en el Consejo de la IE del sector de la educación superior y la investigación.</w:t>
      </w: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b/>
          <w:sz w:val="24"/>
          <w:szCs w:val="24"/>
          <w:lang w:val="es-ES_tradnl" w:bidi="es-ES"/>
        </w:rPr>
      </w:pPr>
      <w:r w:rsidRPr="00F820C9">
        <w:rPr>
          <w:rFonts w:asciiTheme="majorHAnsi" w:hAnsiTheme="majorHAnsi" w:cs="Tahoma"/>
          <w:b/>
          <w:sz w:val="24"/>
          <w:szCs w:val="24"/>
          <w:lang w:val="es-ES_tradnl" w:bidi="es-ES"/>
        </w:rPr>
        <w:lastRenderedPageBreak/>
        <w:t>Recomienda que el Secretariado de la IE:</w:t>
      </w: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Default="00F820C9" w:rsidP="00D15F5B">
      <w:pPr>
        <w:pStyle w:val="ListParagraph"/>
        <w:numPr>
          <w:ilvl w:val="0"/>
          <w:numId w:val="16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D15F5B">
        <w:rPr>
          <w:rFonts w:asciiTheme="majorHAnsi" w:hAnsiTheme="majorHAnsi" w:cs="Tahoma"/>
          <w:sz w:val="24"/>
          <w:szCs w:val="24"/>
          <w:lang w:val="es-ES_tradnl" w:bidi="es-ES"/>
        </w:rPr>
        <w:t>En las futuras campañas se centre en el problema del empleo temporal y los contratos definidos de los docentes de la educación superior, los investigadores y otro personal del sector, y haga hincapié en el derecho a un trabajo decente, un salario decente y la libertad académica.</w:t>
      </w:r>
    </w:p>
    <w:p w:rsidR="00BA03D2" w:rsidRPr="00D15F5B" w:rsidRDefault="00BA03D2" w:rsidP="00BA03D2">
      <w:pPr>
        <w:pStyle w:val="ListParagraph"/>
        <w:tabs>
          <w:tab w:val="left" w:pos="426"/>
        </w:tabs>
        <w:spacing w:after="0"/>
        <w:ind w:left="78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Default="00F820C9" w:rsidP="00D15F5B">
      <w:pPr>
        <w:pStyle w:val="ListParagraph"/>
        <w:numPr>
          <w:ilvl w:val="0"/>
          <w:numId w:val="16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D15F5B">
        <w:rPr>
          <w:rFonts w:asciiTheme="majorHAnsi" w:hAnsiTheme="majorHAnsi" w:cs="Tahoma"/>
          <w:sz w:val="24"/>
          <w:szCs w:val="24"/>
          <w:lang w:val="es-ES_tradnl" w:bidi="es-ES"/>
        </w:rPr>
        <w:t>Garantice que las intervenciones de la IE en la UNESCO, la OIT, el Banco Mundial, el FMI, la OCDE, el G20 y otras organizaciones multilaterales relevantes, insistan en la importancia social y económica de la inversión pública en la educación superior y la investigación.</w:t>
      </w:r>
    </w:p>
    <w:p w:rsidR="00BA03D2" w:rsidRPr="00BA03D2" w:rsidRDefault="00BA03D2" w:rsidP="00BA03D2">
      <w:p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Default="00F820C9" w:rsidP="00D15F5B">
      <w:pPr>
        <w:pStyle w:val="ListParagraph"/>
        <w:numPr>
          <w:ilvl w:val="0"/>
          <w:numId w:val="16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D15F5B">
        <w:rPr>
          <w:rFonts w:asciiTheme="majorHAnsi" w:hAnsiTheme="majorHAnsi" w:cs="Tahoma"/>
          <w:sz w:val="24"/>
          <w:szCs w:val="24"/>
          <w:lang w:val="es-ES_tradnl" w:bidi="es-ES"/>
        </w:rPr>
        <w:t>Abogue por la inclusión del acceso a una educación superior de calidad como pilar fundamental en los Objetivos de Desarrollo del Milenio post-2015 de las Naciones Unidas.</w:t>
      </w:r>
    </w:p>
    <w:p w:rsidR="00BA03D2" w:rsidRPr="00BA03D2" w:rsidRDefault="00BA03D2" w:rsidP="00BA03D2">
      <w:p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Default="00F820C9" w:rsidP="00D15F5B">
      <w:pPr>
        <w:pStyle w:val="ListParagraph"/>
        <w:numPr>
          <w:ilvl w:val="0"/>
          <w:numId w:val="16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D15F5B">
        <w:rPr>
          <w:rFonts w:asciiTheme="majorHAnsi" w:hAnsiTheme="majorHAnsi" w:cs="Tahoma"/>
          <w:sz w:val="24"/>
          <w:szCs w:val="24"/>
          <w:lang w:val="es-ES_tradnl" w:bidi="es-ES"/>
        </w:rPr>
        <w:t>Siga esforzándose en su lucha contra la comercialización y la privatización de la educación superior y la investigación, e incluya acciones de presión contra la inclusión de la educación y otros servicios públicos en los acuerdos comerciales internacionales y regionales, como el Acuerdo Comercial sobre Servicios Internacionales, el Acuerdo de la Asociación Transatlántica para el Comercio y la Inversión, y el Acuerdo de Asociación Transpacífico.</w:t>
      </w:r>
    </w:p>
    <w:p w:rsidR="00BA03D2" w:rsidRPr="00BA03D2" w:rsidRDefault="00BA03D2" w:rsidP="00BA03D2">
      <w:p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Pr="00D15F5B" w:rsidRDefault="00F820C9" w:rsidP="00D15F5B">
      <w:pPr>
        <w:pStyle w:val="ListParagraph"/>
        <w:numPr>
          <w:ilvl w:val="0"/>
          <w:numId w:val="16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D15F5B">
        <w:rPr>
          <w:rFonts w:asciiTheme="majorHAnsi" w:hAnsiTheme="majorHAnsi" w:cs="Tahoma"/>
          <w:sz w:val="24"/>
          <w:szCs w:val="24"/>
          <w:lang w:val="es-ES_tradnl" w:bidi="es-ES"/>
        </w:rPr>
        <w:t>Incremente el control y la comunicación de las violaciones de la libertad académica, los derechos sindicales y las libertades civiles en el sector de la educación superior y la investigación.</w:t>
      </w: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b/>
          <w:sz w:val="24"/>
          <w:szCs w:val="24"/>
          <w:lang w:val="es-ES_tradnl" w:bidi="es-ES"/>
        </w:rPr>
      </w:pPr>
      <w:r w:rsidRPr="00F820C9">
        <w:rPr>
          <w:rFonts w:asciiTheme="majorHAnsi" w:hAnsiTheme="majorHAnsi" w:cs="Tahoma"/>
          <w:b/>
          <w:sz w:val="24"/>
          <w:szCs w:val="24"/>
          <w:lang w:val="es-ES_tradnl" w:bidi="es-ES"/>
        </w:rPr>
        <w:t>Pide a las afiliadas a la IE que:</w:t>
      </w:r>
    </w:p>
    <w:p w:rsidR="00F820C9" w:rsidRPr="00F820C9" w:rsidRDefault="00F820C9" w:rsidP="00CD7711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b/>
          <w:sz w:val="24"/>
          <w:szCs w:val="24"/>
          <w:lang w:val="es-ES_tradnl" w:bidi="es-ES"/>
        </w:rPr>
      </w:pPr>
    </w:p>
    <w:p w:rsidR="00F820C9" w:rsidRDefault="00F820C9" w:rsidP="00BA03D2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Refuercen la cooperación y el intercambio de información y buenas prácticas sobre la organización de campañas, la sindicación y la negociación colectiva.</w:t>
      </w:r>
    </w:p>
    <w:p w:rsidR="00BA03D2" w:rsidRPr="00BA03D2" w:rsidRDefault="00BA03D2" w:rsidP="00BA03D2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F820C9" w:rsidRDefault="00F820C9" w:rsidP="00BA03D2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BA03D2">
        <w:rPr>
          <w:rFonts w:asciiTheme="majorHAnsi" w:hAnsiTheme="majorHAnsi" w:cs="Tahoma"/>
          <w:sz w:val="24"/>
          <w:szCs w:val="24"/>
          <w:lang w:val="es-ES" w:bidi="es-ES"/>
        </w:rPr>
        <w:t xml:space="preserve">Fomenten y promuevan la igualdad dentro de los sindicatos y los lugares de trabajo para los grupos desfavorecidos, como las mujeres, los pueblos </w:t>
      </w:r>
      <w:r w:rsidRPr="00BA03D2">
        <w:rPr>
          <w:rFonts w:asciiTheme="majorHAnsi" w:hAnsiTheme="majorHAnsi" w:cs="Tahoma"/>
          <w:sz w:val="24"/>
          <w:szCs w:val="24"/>
          <w:lang w:val="es-ES" w:bidi="es-ES"/>
        </w:rPr>
        <w:lastRenderedPageBreak/>
        <w:t xml:space="preserve">indígenas, los grupos raciales y étnicos, discapacitados, y personas lesbianas, homosexuales, bisexuales y </w:t>
      </w:r>
      <w:proofErr w:type="spellStart"/>
      <w:r w:rsidRPr="00BA03D2">
        <w:rPr>
          <w:rFonts w:asciiTheme="majorHAnsi" w:hAnsiTheme="majorHAnsi" w:cs="Tahoma"/>
          <w:sz w:val="24"/>
          <w:szCs w:val="24"/>
          <w:lang w:val="es-ES" w:bidi="es-ES"/>
        </w:rPr>
        <w:t>transgénero</w:t>
      </w:r>
      <w:proofErr w:type="spellEnd"/>
      <w:r w:rsidRPr="00BA03D2">
        <w:rPr>
          <w:rFonts w:asciiTheme="majorHAnsi" w:hAnsiTheme="majorHAnsi" w:cs="Tahoma"/>
          <w:sz w:val="24"/>
          <w:szCs w:val="24"/>
          <w:lang w:val="es-ES" w:bidi="es-ES"/>
        </w:rPr>
        <w:t>.</w:t>
      </w:r>
    </w:p>
    <w:p w:rsidR="00BA03D2" w:rsidRPr="00BA03D2" w:rsidRDefault="00BA03D2" w:rsidP="00BA03D2">
      <w:p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F820C9" w:rsidRDefault="00F820C9" w:rsidP="00BA03D2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BA03D2">
        <w:rPr>
          <w:rFonts w:asciiTheme="majorHAnsi" w:hAnsiTheme="majorHAnsi" w:cs="Tahoma"/>
          <w:sz w:val="24"/>
          <w:szCs w:val="24"/>
          <w:lang w:val="es-ES" w:bidi="es-ES"/>
        </w:rPr>
        <w:t xml:space="preserve">Emprendan la organización de campañas, donde sea relevante, en las que se tome como elemento central el personal con contratos definidos, los investigadores jóvenes y el personal de apoyo educativo. </w:t>
      </w:r>
    </w:p>
    <w:p w:rsidR="00BA03D2" w:rsidRPr="00BA03D2" w:rsidRDefault="00BA03D2" w:rsidP="00BA03D2">
      <w:p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F820C9" w:rsidRDefault="00F820C9" w:rsidP="00BA03D2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BA03D2">
        <w:rPr>
          <w:rFonts w:asciiTheme="majorHAnsi" w:hAnsiTheme="majorHAnsi" w:cs="Tahoma"/>
          <w:sz w:val="24"/>
          <w:szCs w:val="24"/>
          <w:lang w:val="es-ES" w:bidi="es-ES"/>
        </w:rPr>
        <w:t>Desarrollen y refuercen las asociaciones con las organizaciones de estudiantes, otros sindicatos, organizaciones comunitarias y otros aliados con vistas a establecer coaliciones fuertes y efectivas.</w:t>
      </w:r>
    </w:p>
    <w:p w:rsidR="00BA03D2" w:rsidRPr="00BA03D2" w:rsidRDefault="00BA03D2" w:rsidP="00BA03D2">
      <w:p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F820C9" w:rsidRDefault="00F820C9" w:rsidP="00BA03D2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BA03D2">
        <w:rPr>
          <w:rFonts w:asciiTheme="majorHAnsi" w:hAnsiTheme="majorHAnsi" w:cs="Tahoma"/>
          <w:sz w:val="24"/>
          <w:szCs w:val="24"/>
          <w:lang w:val="es-ES" w:bidi="es-ES"/>
        </w:rPr>
        <w:t>Ejerzan acciones de presión ante los gobiernos con vistas a mejorar la financiación y apoyar la inclusión del acceso a una educación superior de calidad como elemento fundamental de la Agenda de Desarrollo post-2015.</w:t>
      </w:r>
    </w:p>
    <w:p w:rsidR="00BA03D2" w:rsidRPr="00BA03D2" w:rsidRDefault="00BA03D2" w:rsidP="00BA03D2">
      <w:p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F820C9" w:rsidRDefault="00F820C9" w:rsidP="00BA03D2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BA03D2">
        <w:rPr>
          <w:rFonts w:asciiTheme="majorHAnsi" w:hAnsiTheme="majorHAnsi" w:cs="Tahoma"/>
          <w:sz w:val="24"/>
          <w:szCs w:val="24"/>
          <w:lang w:val="es-ES" w:bidi="es-ES"/>
        </w:rPr>
        <w:t xml:space="preserve">Insten a las instituciones y los gobiernos a que garanticen un mayor reconocimiento del valor de la enseñanza en la educación superior creando entornos de enseñanza y aprendizaje favorables para los estudiantes y el personal. </w:t>
      </w:r>
    </w:p>
    <w:p w:rsidR="00BA03D2" w:rsidRPr="00BA03D2" w:rsidRDefault="00BA03D2" w:rsidP="00BA03D2">
      <w:p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F820C9" w:rsidRDefault="00F820C9" w:rsidP="00BA03D2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BA03D2">
        <w:rPr>
          <w:rFonts w:asciiTheme="majorHAnsi" w:hAnsiTheme="majorHAnsi" w:cs="Tahoma"/>
          <w:sz w:val="24"/>
          <w:szCs w:val="24"/>
          <w:lang w:val="es-ES" w:bidi="es-ES"/>
        </w:rPr>
        <w:t>Refuercen las iniciativas de solidaridad internacional y de cooperación al desarrollo, incluida la participación en el Consorcio de Cooperación al Desarrollo de la Educación Superior y la Investigación de la IE.</w:t>
      </w:r>
    </w:p>
    <w:p w:rsidR="00DF3D6B" w:rsidRDefault="00DF3D6B">
      <w:pPr>
        <w:rPr>
          <w:rFonts w:asciiTheme="majorHAnsi" w:hAnsiTheme="majorHAnsi" w:cs="Tahoma"/>
          <w:sz w:val="24"/>
          <w:szCs w:val="24"/>
          <w:lang w:val="es-ES" w:bidi="es-ES"/>
        </w:rPr>
      </w:pPr>
      <w:r>
        <w:rPr>
          <w:rFonts w:asciiTheme="majorHAnsi" w:hAnsiTheme="majorHAnsi" w:cs="Tahoma"/>
          <w:sz w:val="24"/>
          <w:szCs w:val="24"/>
          <w:lang w:val="es-ES" w:bidi="es-ES"/>
        </w:rPr>
        <w:br w:type="page"/>
      </w:r>
    </w:p>
    <w:p w:rsidR="00DF3D6B" w:rsidRPr="006C405E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b/>
          <w:color w:val="808080" w:themeColor="background1" w:themeShade="80"/>
          <w:sz w:val="36"/>
          <w:szCs w:val="36"/>
          <w:lang w:val="es-ES" w:bidi="es-ES"/>
        </w:rPr>
      </w:pPr>
      <w:r w:rsidRPr="006C405E">
        <w:rPr>
          <w:rFonts w:asciiTheme="majorHAnsi" w:hAnsiTheme="majorHAnsi" w:cs="Tahoma"/>
          <w:b/>
          <w:color w:val="808080" w:themeColor="background1" w:themeShade="80"/>
          <w:sz w:val="36"/>
          <w:szCs w:val="36"/>
          <w:lang w:val="es-ES" w:bidi="es-ES"/>
        </w:rPr>
        <w:lastRenderedPageBreak/>
        <w:t>Declaración sobre los</w:t>
      </w:r>
      <w:bookmarkStart w:id="0" w:name="_GoBack"/>
      <w:bookmarkEnd w:id="0"/>
      <w:r w:rsidRPr="006C405E">
        <w:rPr>
          <w:rFonts w:asciiTheme="majorHAnsi" w:hAnsiTheme="majorHAnsi" w:cs="Tahoma"/>
          <w:b/>
          <w:color w:val="808080" w:themeColor="background1" w:themeShade="80"/>
          <w:sz w:val="36"/>
          <w:szCs w:val="36"/>
          <w:lang w:val="es-ES" w:bidi="es-ES"/>
        </w:rPr>
        <w:t xml:space="preserve"> MOOC</w:t>
      </w: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b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b/>
          <w:sz w:val="24"/>
          <w:szCs w:val="24"/>
          <w:lang w:val="es-ES" w:bidi="es-ES"/>
        </w:rPr>
        <w:t>Preámbulo</w:t>
      </w: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b/>
          <w:sz w:val="24"/>
          <w:szCs w:val="24"/>
          <w:lang w:val="es-ES" w:bidi="es-ES"/>
        </w:rPr>
      </w:pP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sz w:val="24"/>
          <w:szCs w:val="24"/>
          <w:lang w:val="es-ES" w:bidi="es-ES"/>
        </w:rPr>
        <w:t>Los cursos masivos abiertos en línea, o MOOC por sus siglas en inglés, representan el último intento de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emplear las tecnologías de la información y la comunicación para proporcionar algún tipo de educación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superior. Los partidarios de los MOOC los describen como una forma asequible e innovadora de ofrecer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contenido a una gran audiencia. Cada vez son más los que consideran los ingresos potenciales que se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pueden alcanzar vendiendo MOOC a escala mundial.</w:t>
      </w: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sz w:val="24"/>
          <w:szCs w:val="24"/>
          <w:lang w:val="es-ES" w:bidi="es-ES"/>
        </w:rPr>
        <w:t>Uno de los objetivos de la Internacional de la Educación es eliminar barreras que tradicionalmente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restringen el acceso y el éxito de la educación superior. Además, se ha comprometido encarecidamente a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mejorar la igualdad y la equidad de las oportunidades educativas para todas las personas cualificadas.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Los MOOC pueden contribuir a que las instituciones de educación superior logren estos objetivos. No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obstante, los gobiernos, las instituciones y los proveedores privados también pueden abusar de los MOOC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y otras tecnologías de educación a distancia para promover la privatización, reducir la financiación pública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e incrementar el control de gestión sobre el personal académico.</w:t>
      </w: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sz w:val="24"/>
          <w:szCs w:val="24"/>
          <w:lang w:val="es-ES" w:bidi="es-ES"/>
        </w:rPr>
        <w:t>La IE considera que para guiar el desarrollo y el uso de los MOOC y otras formas de educación superior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basadas en las tecnologías, se debe hacer uso de los principios siguientes:</w:t>
      </w: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b/>
          <w:i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 xml:space="preserve">1. </w:t>
      </w: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ab/>
        <w:t>La educación es un bien y un servicio público</w:t>
      </w: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sz w:val="24"/>
          <w:szCs w:val="24"/>
          <w:lang w:val="es-ES" w:bidi="es-ES"/>
        </w:rPr>
        <w:t>La IE considera la educación como un bien público y un derecho humano. Los MOOC no deberían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utilizarse para debilitar la provisión pública de educación ni para promover la privatización y la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comercialización de la educación pública.</w:t>
      </w: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Pr="00DF3D6B" w:rsidRDefault="00DF3D6B" w:rsidP="00DF3D6B">
      <w:pPr>
        <w:tabs>
          <w:tab w:val="left" w:pos="426"/>
        </w:tabs>
        <w:spacing w:after="0"/>
        <w:ind w:left="719" w:right="429" w:hanging="435"/>
        <w:jc w:val="both"/>
        <w:rPr>
          <w:rFonts w:asciiTheme="majorHAnsi" w:hAnsiTheme="majorHAnsi" w:cs="Tahoma"/>
          <w:b/>
          <w:i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lastRenderedPageBreak/>
        <w:t xml:space="preserve">2. </w:t>
      </w:r>
      <w:r>
        <w:rPr>
          <w:rFonts w:asciiTheme="majorHAnsi" w:hAnsiTheme="majorHAnsi" w:cs="Tahoma"/>
          <w:b/>
          <w:i/>
          <w:sz w:val="24"/>
          <w:szCs w:val="24"/>
          <w:lang w:val="es-ES" w:bidi="es-ES"/>
        </w:rPr>
        <w:tab/>
      </w: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>La educación superior debería ser accesible a todas las personas cualificadas</w:t>
      </w: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sz w:val="24"/>
          <w:szCs w:val="24"/>
          <w:lang w:val="es-ES" w:bidi="es-ES"/>
        </w:rPr>
        <w:t>Los MOOC y otras formas de educación en línea pueden ayudar a incrementar el acceso a la educación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superior, pero solamente si son un suplemento y no un sustituto de las prácticas pedagógicas probadas.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Muchas ofertas actuales de MOOC cuentan con un alto número de inscripciones, pero sufren de un índice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de abandono extraordinariamente alto comparado con las formaciones presenciales tradicionales. El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acceso a la educación superior no tiene sentido si los estudiantes no logran los objetivos.</w:t>
      </w: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Pr="00DF3D6B" w:rsidRDefault="00DF3D6B" w:rsidP="00DF3D6B">
      <w:pPr>
        <w:tabs>
          <w:tab w:val="left" w:pos="426"/>
        </w:tabs>
        <w:spacing w:after="0"/>
        <w:ind w:left="719" w:right="429" w:hanging="435"/>
        <w:jc w:val="both"/>
        <w:rPr>
          <w:rFonts w:asciiTheme="majorHAnsi" w:hAnsiTheme="majorHAnsi" w:cs="Tahoma"/>
          <w:b/>
          <w:i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 xml:space="preserve">3. </w:t>
      </w:r>
      <w:r>
        <w:rPr>
          <w:rFonts w:asciiTheme="majorHAnsi" w:hAnsiTheme="majorHAnsi" w:cs="Tahoma"/>
          <w:b/>
          <w:i/>
          <w:sz w:val="24"/>
          <w:szCs w:val="24"/>
          <w:lang w:val="es-ES" w:bidi="es-ES"/>
        </w:rPr>
        <w:tab/>
      </w: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>La educación superior debería promover la igualdad y reducir las desventajas</w:t>
      </w:r>
      <w:r>
        <w:rPr>
          <w:rFonts w:asciiTheme="majorHAnsi" w:hAnsiTheme="majorHAnsi" w:cs="Tahoma"/>
          <w:b/>
          <w:i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>Sociales</w:t>
      </w: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sz w:val="24"/>
          <w:szCs w:val="24"/>
          <w:lang w:val="es-ES" w:bidi="es-ES"/>
        </w:rPr>
        <w:t>Existen pruebas que sugieren que los estudiantes en riesgo, de grupos minoritarios o desfavorecidos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tienen peores resultados con los MOOC que con la enseñanza presencial. Por tanto, los MOOC pueden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incrementar más que reducir la desigualdad en los resultados educativos. Además, los MOOC amenazan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con crear dos niveles de educación superior: una en la que los estudiantes más privilegiados tienen su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propio profesor, y otra en la que los estudiantes ven clases grabadas en vídeos o en una pantalla de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ordenador.</w:t>
      </w: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Pr="00DF3D6B" w:rsidRDefault="00DF3D6B" w:rsidP="00DF3D6B">
      <w:pPr>
        <w:tabs>
          <w:tab w:val="left" w:pos="426"/>
        </w:tabs>
        <w:spacing w:after="0"/>
        <w:ind w:left="719" w:right="429" w:hanging="435"/>
        <w:jc w:val="both"/>
        <w:rPr>
          <w:rFonts w:asciiTheme="majorHAnsi" w:hAnsiTheme="majorHAnsi" w:cs="Tahoma"/>
          <w:b/>
          <w:i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 xml:space="preserve">4. </w:t>
      </w: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ab/>
        <w:t>Los gobiernos tienen la obligación de garantizar que la educación superior reciba una financiación pública adecuada</w:t>
      </w: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sz w:val="24"/>
          <w:szCs w:val="24"/>
          <w:lang w:val="es-ES" w:bidi="es-ES"/>
        </w:rPr>
        <w:t>Los gobiernos no deberían utilizar los MOOC como una vía para reducir la financiación pública y aplicar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recortes en la enseñanza. De hecho, los gastos incurridos para crear MOOC y otros cursos en línea de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alta calidad no suelen ser más baratos que los cursos presenciales.</w:t>
      </w: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Default="00DF3D6B" w:rsidP="00DF3D6B">
      <w:pPr>
        <w:tabs>
          <w:tab w:val="left" w:pos="426"/>
        </w:tabs>
        <w:spacing w:after="0"/>
        <w:ind w:left="719" w:right="429" w:hanging="435"/>
        <w:jc w:val="both"/>
        <w:rPr>
          <w:rFonts w:asciiTheme="majorHAnsi" w:hAnsiTheme="majorHAnsi" w:cs="Tahoma"/>
          <w:b/>
          <w:i/>
          <w:sz w:val="24"/>
          <w:szCs w:val="24"/>
          <w:lang w:val="es-ES" w:bidi="es-ES"/>
        </w:rPr>
      </w:pPr>
    </w:p>
    <w:p w:rsidR="00DF3D6B" w:rsidRDefault="00DF3D6B" w:rsidP="00DF3D6B">
      <w:pPr>
        <w:tabs>
          <w:tab w:val="left" w:pos="426"/>
        </w:tabs>
        <w:spacing w:after="0"/>
        <w:ind w:left="719" w:right="429" w:hanging="435"/>
        <w:jc w:val="both"/>
        <w:rPr>
          <w:rFonts w:asciiTheme="majorHAnsi" w:hAnsiTheme="majorHAnsi" w:cs="Tahoma"/>
          <w:b/>
          <w:i/>
          <w:sz w:val="24"/>
          <w:szCs w:val="24"/>
          <w:lang w:val="es-ES" w:bidi="es-ES"/>
        </w:rPr>
      </w:pPr>
    </w:p>
    <w:p w:rsidR="00DF3D6B" w:rsidRDefault="00DF3D6B" w:rsidP="00DF3D6B">
      <w:pPr>
        <w:tabs>
          <w:tab w:val="left" w:pos="426"/>
        </w:tabs>
        <w:spacing w:after="0"/>
        <w:ind w:left="719" w:right="429" w:hanging="435"/>
        <w:jc w:val="both"/>
        <w:rPr>
          <w:rFonts w:asciiTheme="majorHAnsi" w:hAnsiTheme="majorHAnsi" w:cs="Tahoma"/>
          <w:b/>
          <w:i/>
          <w:sz w:val="24"/>
          <w:szCs w:val="24"/>
          <w:lang w:val="es-ES" w:bidi="es-ES"/>
        </w:rPr>
      </w:pPr>
    </w:p>
    <w:p w:rsidR="00DF3D6B" w:rsidRPr="00DF3D6B" w:rsidRDefault="00DF3D6B" w:rsidP="00DF3D6B">
      <w:pPr>
        <w:tabs>
          <w:tab w:val="left" w:pos="426"/>
        </w:tabs>
        <w:spacing w:after="0"/>
        <w:ind w:left="719" w:right="429" w:hanging="435"/>
        <w:jc w:val="both"/>
        <w:rPr>
          <w:rFonts w:asciiTheme="majorHAnsi" w:hAnsiTheme="majorHAnsi" w:cs="Tahoma"/>
          <w:b/>
          <w:i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lastRenderedPageBreak/>
        <w:t xml:space="preserve">5. </w:t>
      </w: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ab/>
        <w:t>La educación superior debería impartirse de forma adecuada a las necesidades de los estudiantes y los contextos locales</w:t>
      </w: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sz w:val="24"/>
          <w:szCs w:val="24"/>
          <w:lang w:val="es-ES" w:bidi="es-ES"/>
        </w:rPr>
        <w:t>A día de hoy, los MOOC son casi por completo una iniciativa occidental angloamericana y están basados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en una experiencia académica, una base de conocimientos y un enfoque pedagógico particulares. La gran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mayoría de los cursos se imparten en inglés. Por tanto, los MOOC podrían no ofrecer cursos adaptados a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las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necesidades locales o sensibles con las diferentes tradiciones y sistemas de conocimiento. Al límite,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los MOOC podrían frenar el desarrollo de la capacidad y el contenido locales, particularmente en los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países con ingresos medios y bajos.</w:t>
      </w: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Pr="00DF3D6B" w:rsidRDefault="00DF3D6B" w:rsidP="00DF3D6B">
      <w:pPr>
        <w:tabs>
          <w:tab w:val="left" w:pos="426"/>
        </w:tabs>
        <w:spacing w:after="0"/>
        <w:ind w:left="719" w:right="429" w:hanging="435"/>
        <w:jc w:val="both"/>
        <w:rPr>
          <w:rFonts w:asciiTheme="majorHAnsi" w:hAnsiTheme="majorHAnsi" w:cs="Tahoma"/>
          <w:b/>
          <w:i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 xml:space="preserve">6. </w:t>
      </w: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ab/>
        <w:t xml:space="preserve">El personal docente de educación superior debería tener la libertad de seleccionar y utilizar los materiales didácticos y de apoyo que considere apropiados </w:t>
      </w: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sz w:val="24"/>
          <w:szCs w:val="24"/>
          <w:lang w:val="es-ES" w:bidi="es-ES"/>
        </w:rPr>
        <w:t>La libertad académica incluye el derecho a enseñar sin interferencias, incluido el derecho a elegir el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contenido y los métodos de enseñanza, y la libertad de utilizar o no cualquier técnica o tecnología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específica. Ningún docente de educación superior debería ser obligado a utilizar o adoptar los MOOC si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los considera inapropiados.</w:t>
      </w:r>
    </w:p>
    <w:p w:rsid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Pr="00DF3D6B" w:rsidRDefault="00DF3D6B" w:rsidP="00DF3D6B">
      <w:pPr>
        <w:tabs>
          <w:tab w:val="left" w:pos="426"/>
        </w:tabs>
        <w:spacing w:after="0"/>
        <w:ind w:left="719" w:right="429" w:hanging="435"/>
        <w:jc w:val="both"/>
        <w:rPr>
          <w:rFonts w:asciiTheme="majorHAnsi" w:hAnsiTheme="majorHAnsi" w:cs="Tahoma"/>
          <w:b/>
          <w:i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 xml:space="preserve">7. </w:t>
      </w: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ab/>
        <w:t>El personal docente de educación superior debería conservar sus derechos de propiedad intelectual sobre los materiales didácticos independientemente de la</w:t>
      </w:r>
      <w:r w:rsidRPr="00DF3D6B">
        <w:rPr>
          <w:rFonts w:asciiTheme="majorHAnsi" w:hAnsiTheme="majorHAnsi" w:cs="Tahoma"/>
          <w:b/>
          <w:i/>
          <w:sz w:val="24"/>
          <w:szCs w:val="24"/>
          <w:lang w:val="es-ES" w:bidi="es-ES"/>
        </w:rPr>
        <w:tab/>
        <w:t>forma en que se suministren</w:t>
      </w: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</w:p>
    <w:p w:rsidR="00DF3D6B" w:rsidRPr="00DF3D6B" w:rsidRDefault="00DF3D6B" w:rsidP="00DF3D6B">
      <w:pPr>
        <w:tabs>
          <w:tab w:val="left" w:pos="426"/>
        </w:tabs>
        <w:spacing w:after="0"/>
        <w:ind w:left="284" w:right="429"/>
        <w:jc w:val="both"/>
        <w:rPr>
          <w:rFonts w:asciiTheme="majorHAnsi" w:hAnsiTheme="majorHAnsi" w:cs="Tahoma"/>
          <w:sz w:val="24"/>
          <w:szCs w:val="24"/>
          <w:lang w:val="es-ES" w:bidi="es-ES"/>
        </w:rPr>
      </w:pPr>
      <w:r w:rsidRPr="00DF3D6B">
        <w:rPr>
          <w:rFonts w:asciiTheme="majorHAnsi" w:hAnsiTheme="majorHAnsi" w:cs="Tahoma"/>
          <w:sz w:val="24"/>
          <w:szCs w:val="24"/>
          <w:lang w:val="es-ES" w:bidi="es-ES"/>
        </w:rPr>
        <w:t>Actualmente, la mayoría de proveedores de MOOC establecen un derecho de propiedad sobre el material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incluido en sus cursos, autorizan el acceso y el uso de estos materiales al usuario y ejercen un derecho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de titularidad sobre el contenido generado por el usuario. Sin embargo, para ejercer plenamente la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libertad académica, el personal docente de educación superior debería conservar la propiedad intelectual</w:t>
      </w:r>
      <w:r>
        <w:rPr>
          <w:rFonts w:asciiTheme="majorHAnsi" w:hAnsiTheme="majorHAnsi" w:cs="Tahoma"/>
          <w:sz w:val="24"/>
          <w:szCs w:val="24"/>
          <w:lang w:val="es-ES" w:bidi="es-ES"/>
        </w:rPr>
        <w:t xml:space="preserve"> </w:t>
      </w:r>
      <w:r w:rsidRPr="00DF3D6B">
        <w:rPr>
          <w:rFonts w:asciiTheme="majorHAnsi" w:hAnsiTheme="majorHAnsi" w:cs="Tahoma"/>
          <w:sz w:val="24"/>
          <w:szCs w:val="24"/>
          <w:lang w:val="es-ES" w:bidi="es-ES"/>
        </w:rPr>
        <w:t>de sus materiales didácticos, incluido el material utilizado en los cursos a distancia y en línea</w:t>
      </w:r>
      <w:r>
        <w:rPr>
          <w:rFonts w:asciiTheme="majorHAnsi" w:hAnsiTheme="majorHAnsi" w:cs="Tahoma"/>
          <w:sz w:val="24"/>
          <w:szCs w:val="24"/>
          <w:lang w:val="es-ES" w:bidi="es-ES"/>
        </w:rPr>
        <w:t>.</w:t>
      </w:r>
    </w:p>
    <w:p w:rsidR="003E02D6" w:rsidRDefault="003E02D6">
      <w:pPr>
        <w:rPr>
          <w:rFonts w:asciiTheme="majorHAnsi" w:hAnsiTheme="majorHAnsi" w:cs="Tahoma"/>
          <w:sz w:val="24"/>
          <w:szCs w:val="24"/>
          <w:lang w:val="es-ES" w:bidi="es-ES"/>
        </w:rPr>
      </w:pPr>
      <w:r>
        <w:rPr>
          <w:rFonts w:asciiTheme="majorHAnsi" w:hAnsiTheme="majorHAnsi" w:cs="Tahoma"/>
          <w:sz w:val="24"/>
          <w:szCs w:val="24"/>
          <w:lang w:val="es-ES" w:bidi="es-ES"/>
        </w:rPr>
        <w:br w:type="page"/>
      </w:r>
    </w:p>
    <w:p w:rsidR="003E02D6" w:rsidRPr="00BA03D2" w:rsidRDefault="003E02D6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b/>
          <w:bCs/>
          <w:color w:val="808080" w:themeColor="background1" w:themeShade="80"/>
          <w:sz w:val="36"/>
          <w:szCs w:val="36"/>
          <w:lang w:val="es-ES_tradnl" w:bidi="es-ES"/>
        </w:rPr>
      </w:pPr>
      <w:r w:rsidRPr="00BA03D2">
        <w:rPr>
          <w:rFonts w:asciiTheme="majorHAnsi" w:hAnsiTheme="majorHAnsi" w:cs="Tahoma"/>
          <w:b/>
          <w:bCs/>
          <w:color w:val="808080" w:themeColor="background1" w:themeShade="80"/>
          <w:sz w:val="36"/>
          <w:szCs w:val="36"/>
          <w:lang w:val="es-ES_tradnl" w:bidi="es-ES"/>
        </w:rPr>
        <w:lastRenderedPageBreak/>
        <w:t>Informe del Grupo de Trabajo sobre la educación y formación</w:t>
      </w:r>
      <w:r w:rsidR="00BA03D2" w:rsidRPr="00BA03D2">
        <w:rPr>
          <w:rFonts w:asciiTheme="majorHAnsi" w:hAnsiTheme="majorHAnsi" w:cs="Tahoma"/>
          <w:b/>
          <w:bCs/>
          <w:color w:val="808080" w:themeColor="background1" w:themeShade="80"/>
          <w:sz w:val="36"/>
          <w:szCs w:val="36"/>
          <w:lang w:val="es-ES_tradnl" w:bidi="es-ES"/>
        </w:rPr>
        <w:t xml:space="preserve"> P</w:t>
      </w:r>
      <w:r w:rsidRPr="00BA03D2">
        <w:rPr>
          <w:rFonts w:asciiTheme="majorHAnsi" w:hAnsiTheme="majorHAnsi" w:cs="Tahoma"/>
          <w:b/>
          <w:bCs/>
          <w:color w:val="808080" w:themeColor="background1" w:themeShade="80"/>
          <w:sz w:val="36"/>
          <w:szCs w:val="36"/>
          <w:lang w:val="es-ES_tradnl" w:bidi="es-ES"/>
        </w:rPr>
        <w:t>rofesional</w:t>
      </w:r>
    </w:p>
    <w:p w:rsidR="00BA03D2" w:rsidRPr="00BA03D2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</w:pPr>
    </w:p>
    <w:p w:rsidR="003E02D6" w:rsidRPr="00592634" w:rsidRDefault="003E02D6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</w:pPr>
      <w:r w:rsidRPr="00592634"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  <w:t xml:space="preserve">1.0 </w:t>
      </w:r>
      <w:r w:rsidR="00BA03D2" w:rsidRPr="00592634"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  <w:tab/>
      </w:r>
      <w:r w:rsidRPr="00592634"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  <w:t>Introducción</w:t>
      </w:r>
    </w:p>
    <w:p w:rsidR="00BA03D2" w:rsidRPr="00592634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</w:pPr>
    </w:p>
    <w:p w:rsidR="003E02D6" w:rsidRDefault="003E02D6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Tras la adopción de la Resolución 1.4.1 sobre nuevo impacto de la educación y formación profesional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en cada región de la IE y la Resolución 1.4.2 sobre la educación técnica y la formación profesional, el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género y la inclusión en la 6ª reunión del Congreso Mundial de la Internacional de la Educación (IE)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de 2011, se creó el Grupo de Trabajo para proporcionar asesoramiento y recomendaciones sobre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cómo avanzar en la elaboración de la política sobre EFP y su promoción.</w:t>
      </w:r>
    </w:p>
    <w:p w:rsidR="00BA03D2" w:rsidRPr="00BA03D2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Pr="00BA03D2" w:rsidRDefault="003E02D6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  <w:t xml:space="preserve">2.0 </w:t>
      </w:r>
      <w:r w:rsidR="00BA03D2" w:rsidRPr="00BA03D2"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  <w:tab/>
      </w:r>
      <w:r w:rsidRPr="00BA03D2"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  <w:t>Actualización sobre los progresos realizados</w:t>
      </w:r>
    </w:p>
    <w:p w:rsidR="00BA03D2" w:rsidRPr="00BA03D2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</w:pPr>
    </w:p>
    <w:p w:rsidR="003E02D6" w:rsidRDefault="003E02D6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El Grupo de Trabajo ha celebrado dos reuniones presenciales, una en enero de 2013 y otra en mayo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de 2014.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El tema de la educación y formación profesional (EFP) ha ganado interés en los últimos años, y es,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hoy día, junto con el desarrollo de competencias y la empleabilidad, una cuestión central para las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instituciones internacionales. Sin embargo, estas instituciones rara vez contemplan una política desde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el punto de vista de los docentes, por eso el Grupo de Trabajo ha pretendido que la voz y las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condiciones de los docentes estén más presentes en estos debates.</w:t>
      </w:r>
    </w:p>
    <w:p w:rsidR="00BA03D2" w:rsidRPr="00BA03D2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La IE participó de forma activa en el Tercer Congreso Internacional de la UNESCO sobre EFTP en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Shanghái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, China, en mayo de 2012. El Congreso se centró en las medidas políticas sobre EFTP que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podrían tomarse, particularmente en tiempos de dificultades económicas, para facilitar el aprendizaje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y el desarrollo de competencias. Se invitó a la IE a que realizara dos presentaciones formales en el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evento, una que abordara la necesidad de entablar un diálogo social más sólido y desarrollar prácticas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de negociación colectiva en el sector, y una segunda que tratara específicamente la cuestión del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empleo precario de los docentes de EFTP, en la que se destacara la necesidad de mejorar la situación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y las condiciones de los docentes de EFTP a fin de incrementar la calidad de la enseñanza.</w:t>
      </w:r>
    </w:p>
    <w:p w:rsidR="00BA03D2" w:rsidRPr="00BA03D2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lastRenderedPageBreak/>
        <w:t>El Grupo de Trabajo ha realizado el seguimiento de la revisión de la Recomendación de la UNESCO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relativa a la Enseñanza y Formación Técnica y Profesional (EFTP). Remitió numerosas propuestas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antes de la reunión de expertos a la que asistió la IE en mayo de 2014, y ha seguido supervisando el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proceso y contribuyendo al mismo.</w:t>
      </w:r>
    </w:p>
    <w:p w:rsidR="00BA03D2" w:rsidRPr="00BA03D2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El Grupo de Trabajo continúa supervisando los avances en materia de EFP en el marco de la OCDE, y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junto con el Comité Sindical Consultivo (TUAC), y sigue de cerca —e interviene en— los debates del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Programa para la Evaluación Internacional de las Competencias de Adultos (PIAAC) y la estrategia de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competencias (</w:t>
      </w:r>
      <w:proofErr w:type="spellStart"/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Skills</w:t>
      </w:r>
      <w:proofErr w:type="spellEnd"/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proofErr w:type="spellStart"/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Strategy</w:t>
      </w:r>
      <w:proofErr w:type="spellEnd"/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) de la OCDE. El Grupo de Trabajo también ha examinado el Informe de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seguimiento de la EPT de 2012, Los jóvenes y las competencias: trabajar con la educación, en el que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se aborda el tema de los jóvenes y las competencias y, más concretamente, la manera en que el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desarrollo de competencias puede mejorar las oportunidades laborales de los jóvenes.</w:t>
      </w:r>
    </w:p>
    <w:p w:rsidR="00BA03D2" w:rsidRPr="00BA03D2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El tema de la educación y formación profesional también se aborda en los procesos dirigidos por las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Naciones Unidas en torno a un nuevo marco mundial de desarrollo. Las competencias y el desarrollo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de las mismas, así como el empleo de los jóvenes, la empleabilidad y las competencias para trabajar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han copado el orden del día en diferentes debates sobre una agenda de educación posterior a 2015,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y el Grupo de Trabajo ha examinado el proyecto de texto de las propuestas del Grupo de Trabajo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Abierto sobre los Objetivos de Desarrollo Sostenible de las Naciones Unidas, así como del Comité de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Dirección de la EPT.</w:t>
      </w:r>
    </w:p>
    <w:p w:rsidR="00BA03D2" w:rsidRPr="00BA03D2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El Grupo de Trabajo ha acordado recabar una serie de documentos que describan y analicen las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diferentes tendencias y desarrollos en el ámbito de la EFP. En ello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s se incluyen cuestiones como la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falta de competencias, el éxodo intelectual, la privatización, el reconocimiento de calificaciones y la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evaluación de los conocimientos adquiridos anteriormente.</w:t>
      </w:r>
    </w:p>
    <w:p w:rsidR="00BA03D2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BA03D2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BA03D2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BA03D2" w:rsidRPr="00BA03D2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Pr="00592634" w:rsidRDefault="003E02D6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</w:pPr>
      <w:r w:rsidRPr="00592634"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  <w:lastRenderedPageBreak/>
        <w:t xml:space="preserve">3.0 </w:t>
      </w:r>
      <w:r w:rsidR="00BA03D2" w:rsidRPr="00592634"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  <w:tab/>
      </w:r>
      <w:r w:rsidRPr="00592634">
        <w:rPr>
          <w:rFonts w:asciiTheme="majorHAnsi" w:hAnsiTheme="majorHAnsi" w:cs="Tahoma"/>
          <w:b/>
          <w:bCs/>
          <w:sz w:val="24"/>
          <w:szCs w:val="24"/>
          <w:lang w:val="es-ES_tradnl" w:bidi="es-ES"/>
        </w:rPr>
        <w:t>Recomendaciones</w:t>
      </w:r>
    </w:p>
    <w:p w:rsidR="00BA03D2" w:rsidRPr="00592634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A fin de consolidar los progresos realizados hasta ahora y avanzar para aplicar por completo las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resoluciones existentes sobre EFP, el Grupo de Trabajo ha redactado estas recomendaciones para que</w:t>
      </w:r>
      <w:r w:rsid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el Consejo Ejecutivo las tenga en cuenta:</w:t>
      </w:r>
    </w:p>
    <w:p w:rsidR="00BA03D2" w:rsidRPr="00BA03D2" w:rsidRDefault="00BA03D2" w:rsidP="003E02D6">
      <w:pPr>
        <w:tabs>
          <w:tab w:val="left" w:pos="426"/>
        </w:tabs>
        <w:spacing w:after="0"/>
        <w:ind w:left="42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BA03D2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La IE debería continuar su labor para elevar el perfil de la educación y formación profesional,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tanto a nivel interno como externo. Para avanzar en este sentido, el Grupo de Trabajo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recomienda que la IE se plantee incluir en su Conferencia Internacional de Educación Superior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 Investigación actividades de participación y perspectivas sobre la educación profesional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postsecundaria/terciaria;</w:t>
      </w:r>
    </w:p>
    <w:p w:rsidR="00BA03D2" w:rsidRPr="00BA03D2" w:rsidRDefault="00BA03D2" w:rsidP="00BA03D2">
      <w:pPr>
        <w:pStyle w:val="ListParagraph"/>
        <w:tabs>
          <w:tab w:val="left" w:pos="426"/>
        </w:tabs>
        <w:spacing w:after="0"/>
        <w:ind w:left="78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BA03D2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La IE debe seguir participando de forma activa en la revisión de la Recomendación Revisada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relativa a la Enseñanza Técnica y Profesional de la UNESCO, prestando especial atención a los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párrafos sobre el personal de EFTP, así como al diálogo social;</w:t>
      </w:r>
    </w:p>
    <w:p w:rsidR="00BA03D2" w:rsidRPr="00BA03D2" w:rsidRDefault="00BA03D2" w:rsidP="00BA03D2">
      <w:pPr>
        <w:pStyle w:val="ListParagraph"/>
        <w:tabs>
          <w:tab w:val="left" w:pos="426"/>
        </w:tabs>
        <w:spacing w:after="0"/>
        <w:ind w:left="78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BA03D2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La IE debe incluir de forma más explícita cuestiones sobre la EFP en la campaña Unámonos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por una educación pública de calidad y abogar por la inclusión de la EFP en la agenda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posterior a 2015;</w:t>
      </w:r>
    </w:p>
    <w:p w:rsidR="00BA03D2" w:rsidRPr="00BA03D2" w:rsidRDefault="00BA03D2" w:rsidP="00BA03D2">
      <w:pPr>
        <w:pStyle w:val="ListParagraph"/>
        <w:tabs>
          <w:tab w:val="left" w:pos="426"/>
        </w:tabs>
        <w:spacing w:after="0"/>
        <w:ind w:left="78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BA03D2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La privatización es uno de los principales desafíos del sector de la EFP en todo el mundo, y la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IE debe garantizar una perspectiva sobre EFP en todas sus actividades relativas a la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privatización y la economía política de la educación. Asimismo, se pide a la IE que examine y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exponga las empresas internacionales/multinacionales que imparten EFP en todo el mundo, y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realice un seguimiento de las mismas;</w:t>
      </w:r>
    </w:p>
    <w:p w:rsidR="00BA03D2" w:rsidRPr="00BA03D2" w:rsidRDefault="00BA03D2" w:rsidP="00BA03D2">
      <w:pPr>
        <w:pStyle w:val="ListParagraph"/>
        <w:tabs>
          <w:tab w:val="left" w:pos="426"/>
        </w:tabs>
        <w:spacing w:after="0"/>
        <w:ind w:left="78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BA03D2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Las cuestiones en torno a la EFP deben incluirse y reflejarse en la labor de la IE sobre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comercio y globalización, incluidos la Asociación Transatlántica de Comercio e Inversión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(ATCI) y el Acuerdo de Asociación Transpacífico (TPPA);</w:t>
      </w:r>
    </w:p>
    <w:p w:rsidR="00BA03D2" w:rsidRPr="00BA03D2" w:rsidRDefault="00BA03D2" w:rsidP="00BA03D2">
      <w:pPr>
        <w:pStyle w:val="ListParagraph"/>
        <w:tabs>
          <w:tab w:val="left" w:pos="426"/>
        </w:tabs>
        <w:spacing w:after="0"/>
        <w:ind w:left="78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BA03D2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lastRenderedPageBreak/>
        <w:t>Debe prestarse especial atención a la situación de los docentes de la EFP en el contexto de la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reunión de 2015 del Comité de Expertos sobre la aplicación de las Recomendaciones relativas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al personal docente (CEART);</w:t>
      </w:r>
    </w:p>
    <w:p w:rsidR="00BA03D2" w:rsidRPr="00BA03D2" w:rsidRDefault="00BA03D2" w:rsidP="00BA03D2">
      <w:pPr>
        <w:pStyle w:val="ListParagraph"/>
        <w:tabs>
          <w:tab w:val="left" w:pos="426"/>
        </w:tabs>
        <w:spacing w:after="0"/>
        <w:ind w:left="78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BA03D2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Es preciso profundizar en cuestiones como las tecnologías de la información y la comunicación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(TIC) en la EFP; el género y la inclusión; la educación y capacitación de adultos;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“competencias ecológicas” y “transición justa” a empleos con bajas emisiones de carbono; y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cursos de aprendizaje y enseñanza en el lugar de trabajo;</w:t>
      </w:r>
    </w:p>
    <w:p w:rsidR="00BA03D2" w:rsidRPr="00BA03D2" w:rsidRDefault="00BA03D2" w:rsidP="00BA03D2">
      <w:pPr>
        <w:pStyle w:val="ListParagraph"/>
        <w:tabs>
          <w:tab w:val="left" w:pos="426"/>
        </w:tabs>
        <w:spacing w:after="0"/>
        <w:ind w:left="78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Default="003E02D6" w:rsidP="00BA03D2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A tenor del éxito del foro sobre EFP celebrado durante el Congreso de Ciudad del Cabo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en 2011, la IE debe velar por que haya espacio para un foro de políticas en materia de EFP en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el próximo Congreso, en el que los afiliados activos del sector puedan reunirse para debatir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cuestiones de interés, sondear el estado de los desarrollos regionales y llegar a un consenso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sobre el plan de acción;</w:t>
      </w:r>
    </w:p>
    <w:p w:rsidR="00BA03D2" w:rsidRPr="00BA03D2" w:rsidRDefault="00BA03D2" w:rsidP="00BA03D2">
      <w:pPr>
        <w:pStyle w:val="ListParagraph"/>
        <w:tabs>
          <w:tab w:val="left" w:pos="426"/>
        </w:tabs>
        <w:spacing w:after="0"/>
        <w:ind w:left="786"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</w:p>
    <w:p w:rsidR="003E02D6" w:rsidRPr="00BA03D2" w:rsidRDefault="003E02D6" w:rsidP="00BA03D2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right="429"/>
        <w:jc w:val="both"/>
        <w:rPr>
          <w:rFonts w:asciiTheme="majorHAnsi" w:hAnsiTheme="majorHAnsi" w:cs="Tahoma"/>
          <w:sz w:val="24"/>
          <w:szCs w:val="24"/>
          <w:lang w:val="es-ES_tradnl" w:bidi="es-ES"/>
        </w:rPr>
      </w:pP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A fin de garantizar que la IE siga adoptando un enfoque estratégico y coordinado en relación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con la EFP y reaccione ante nuevos desarrollos en el sector, debería prolongarse el mandato</w:t>
      </w:r>
      <w:r w:rsidR="00BA03D2" w:rsidRPr="00BA03D2">
        <w:rPr>
          <w:rFonts w:asciiTheme="majorHAnsi" w:hAnsiTheme="majorHAnsi" w:cs="Tahoma"/>
          <w:sz w:val="24"/>
          <w:szCs w:val="24"/>
          <w:lang w:val="es-ES_tradnl" w:bidi="es-ES"/>
        </w:rPr>
        <w:t xml:space="preserve"> </w:t>
      </w:r>
      <w:r w:rsidRPr="00BA03D2">
        <w:rPr>
          <w:rFonts w:asciiTheme="majorHAnsi" w:hAnsiTheme="majorHAnsi" w:cs="Tahoma"/>
          <w:sz w:val="24"/>
          <w:szCs w:val="24"/>
          <w:lang w:val="es-ES_tradnl" w:bidi="es-ES"/>
        </w:rPr>
        <w:t>del Grupo de Trabajo sobre la EFP.</w:t>
      </w:r>
    </w:p>
    <w:p w:rsidR="00F820C9" w:rsidRPr="00F820C9" w:rsidRDefault="00F820C9" w:rsidP="00CD7711">
      <w:pPr>
        <w:tabs>
          <w:tab w:val="left" w:pos="426"/>
        </w:tabs>
        <w:spacing w:after="0" w:line="240" w:lineRule="auto"/>
        <w:ind w:left="426" w:right="429"/>
        <w:jc w:val="both"/>
        <w:rPr>
          <w:rFonts w:asciiTheme="majorHAnsi" w:hAnsiTheme="majorHAnsi" w:cs="Tahoma"/>
          <w:sz w:val="24"/>
          <w:szCs w:val="24"/>
          <w:lang w:val="es-ES"/>
        </w:rPr>
      </w:pPr>
    </w:p>
    <w:p w:rsidR="00CD1FE9" w:rsidRPr="005A6BF5" w:rsidRDefault="00CD1FE9" w:rsidP="00CD7711">
      <w:pPr>
        <w:spacing w:after="0" w:line="240" w:lineRule="auto"/>
        <w:ind w:left="426" w:right="429"/>
        <w:rPr>
          <w:rFonts w:asciiTheme="majorHAnsi" w:hAnsiTheme="majorHAnsi" w:cs="Tahoma"/>
          <w:sz w:val="24"/>
          <w:szCs w:val="24"/>
          <w:lang w:val="es-ES"/>
        </w:rPr>
      </w:pPr>
    </w:p>
    <w:p w:rsidR="00CD1FE9" w:rsidRPr="005A6BF5" w:rsidRDefault="00CD1FE9" w:rsidP="00CD7711">
      <w:pPr>
        <w:spacing w:after="0" w:line="240" w:lineRule="auto"/>
        <w:ind w:left="426" w:right="429"/>
        <w:rPr>
          <w:rFonts w:asciiTheme="majorHAnsi" w:hAnsiTheme="majorHAnsi" w:cs="Tahoma"/>
          <w:sz w:val="24"/>
          <w:szCs w:val="24"/>
          <w:lang w:val="es-ES_tradnl"/>
        </w:rPr>
      </w:pPr>
    </w:p>
    <w:p w:rsidR="00CD1FE9" w:rsidRPr="005A6BF5" w:rsidRDefault="00CD1FE9" w:rsidP="00CD7711">
      <w:pPr>
        <w:spacing w:after="0"/>
        <w:ind w:left="426" w:right="429"/>
        <w:rPr>
          <w:rFonts w:asciiTheme="majorHAnsi" w:eastAsia="MS Gothic" w:hAnsiTheme="majorHAnsi" w:cs="Narkisim"/>
          <w:b/>
          <w:sz w:val="24"/>
          <w:szCs w:val="24"/>
          <w:lang w:val="es-ES_tradnl"/>
        </w:rPr>
      </w:pPr>
    </w:p>
    <w:sectPr w:rsidR="00CD1FE9" w:rsidRPr="005A6BF5" w:rsidSect="006465E3">
      <w:headerReference w:type="default" r:id="rId10"/>
      <w:footerReference w:type="default" r:id="rId11"/>
      <w:pgSz w:w="12240" w:h="15840"/>
      <w:pgMar w:top="851" w:right="1440" w:bottom="1440" w:left="1440" w:header="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6B" w:rsidRDefault="00DF3D6B" w:rsidP="00385C98">
      <w:pPr>
        <w:spacing w:after="0" w:line="240" w:lineRule="auto"/>
      </w:pPr>
      <w:r>
        <w:separator/>
      </w:r>
    </w:p>
  </w:endnote>
  <w:endnote w:type="continuationSeparator" w:id="0">
    <w:p w:rsidR="00DF3D6B" w:rsidRDefault="00DF3D6B" w:rsidP="0038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26" w:type="pct"/>
      <w:tblInd w:w="-3287" w:type="dxa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3346"/>
      <w:gridCol w:w="11089"/>
    </w:tblGrid>
    <w:tr w:rsidR="00DF3D6B" w:rsidRPr="00592634" w:rsidTr="00511E76">
      <w:trPr>
        <w:trHeight w:val="63"/>
      </w:trPr>
      <w:tc>
        <w:tcPr>
          <w:tcW w:w="1159" w:type="pct"/>
          <w:tcBorders>
            <w:bottom w:val="single" w:sz="4" w:space="0" w:color="943634"/>
          </w:tcBorders>
          <w:shd w:val="clear" w:color="auto" w:fill="00B0F0"/>
          <w:vAlign w:val="bottom"/>
        </w:tcPr>
        <w:p w:rsidR="00DF3D6B" w:rsidRPr="00511E76" w:rsidRDefault="00DF3D6B" w:rsidP="00220D1D">
          <w:pPr>
            <w:spacing w:after="0" w:line="240" w:lineRule="auto"/>
            <w:rPr>
              <w:rFonts w:ascii="Calibri" w:eastAsia="SimSun" w:hAnsi="Calibri" w:cs="Times New Roman"/>
              <w:color w:val="548DD4" w:themeColor="text2" w:themeTint="99"/>
              <w:lang w:val="en-US"/>
            </w:rPr>
          </w:pPr>
        </w:p>
      </w:tc>
      <w:tc>
        <w:tcPr>
          <w:tcW w:w="3841" w:type="pct"/>
          <w:tcBorders>
            <w:top w:val="single" w:sz="4" w:space="0" w:color="auto"/>
            <w:bottom w:val="single" w:sz="4" w:space="0" w:color="auto"/>
          </w:tcBorders>
          <w:vAlign w:val="bottom"/>
        </w:tcPr>
        <w:p w:rsidR="00DF3D6B" w:rsidRPr="00BA03D2" w:rsidRDefault="00DF3D6B" w:rsidP="00BA03D2">
          <w:pPr>
            <w:spacing w:after="0" w:line="240" w:lineRule="auto"/>
            <w:rPr>
              <w:rFonts w:ascii="Calibri" w:eastAsia="SimSun" w:hAnsi="Calibri" w:cs="Times New Roman"/>
              <w:b/>
              <w:bCs/>
              <w:caps/>
              <w:color w:val="FFC000"/>
              <w:lang w:val="es-ES_tradnl"/>
            </w:rPr>
          </w:pPr>
          <w:r w:rsidRPr="00BA03D2">
            <w:rPr>
              <w:rFonts w:ascii="Calibri" w:eastAsia="SimSun" w:hAnsi="Calibri" w:cs="Times New Roman"/>
              <w:b/>
              <w:bCs/>
              <w:caps/>
              <w:color w:val="C00000"/>
              <w:lang w:val="es-ES_tradnl"/>
            </w:rPr>
            <w:t>INTERNAciONAL DE LA EDUCACIÓN</w:t>
          </w:r>
          <w:r w:rsidRPr="00BA03D2">
            <w:rPr>
              <w:rFonts w:ascii="Calibri" w:eastAsia="SimSun" w:hAnsi="Calibri" w:cs="Times New Roman"/>
              <w:b/>
              <w:bCs/>
              <w:caps/>
              <w:color w:val="9BBB59" w:themeColor="accent3"/>
              <w:lang w:val="es-ES_tradnl"/>
            </w:rPr>
            <w:br/>
            <w:t xml:space="preserve">CAUCUS  DE LA EDUCACIÓN TERCIARIA Y SUPERIOR                                                                                   </w:t>
          </w:r>
          <w:r w:rsidRPr="00BA03D2">
            <w:rPr>
              <w:rFonts w:ascii="Calibri" w:eastAsia="SimSun" w:hAnsi="Calibri" w:cs="Times New Roman"/>
              <w:b/>
              <w:bCs/>
              <w:caps/>
              <w:color w:val="808080" w:themeColor="background1" w:themeShade="80"/>
              <w:spacing w:val="60"/>
              <w:lang w:val="es-ES_tradnl"/>
            </w:rPr>
            <w:t>PÁgina</w:t>
          </w:r>
          <w:r w:rsidRPr="00BA03D2">
            <w:rPr>
              <w:rFonts w:ascii="Calibri" w:eastAsia="SimSun" w:hAnsi="Calibri" w:cs="Times New Roman"/>
              <w:b/>
              <w:bCs/>
              <w:caps/>
              <w:color w:val="9BBB59" w:themeColor="accent3"/>
              <w:lang w:val="es-ES_tradnl"/>
            </w:rPr>
            <w:t xml:space="preserve"> | </w:t>
          </w:r>
          <w:r w:rsidRPr="006465E3">
            <w:rPr>
              <w:rFonts w:ascii="Calibri" w:eastAsia="SimSun" w:hAnsi="Calibri" w:cs="Times New Roman"/>
              <w:b/>
              <w:bCs/>
              <w:caps/>
              <w:color w:val="9BBB59" w:themeColor="accent3"/>
              <w:lang w:val="fr-CA"/>
            </w:rPr>
            <w:fldChar w:fldCharType="begin"/>
          </w:r>
          <w:r w:rsidRPr="00BA03D2">
            <w:rPr>
              <w:rFonts w:ascii="Calibri" w:eastAsia="SimSun" w:hAnsi="Calibri" w:cs="Times New Roman"/>
              <w:b/>
              <w:bCs/>
              <w:caps/>
              <w:color w:val="9BBB59" w:themeColor="accent3"/>
              <w:lang w:val="es-ES_tradnl"/>
            </w:rPr>
            <w:instrText xml:space="preserve"> PAGE   \* MERGEFORMAT </w:instrText>
          </w:r>
          <w:r w:rsidRPr="006465E3">
            <w:rPr>
              <w:rFonts w:ascii="Calibri" w:eastAsia="SimSun" w:hAnsi="Calibri" w:cs="Times New Roman"/>
              <w:b/>
              <w:bCs/>
              <w:caps/>
              <w:color w:val="9BBB59" w:themeColor="accent3"/>
              <w:lang w:val="fr-CA"/>
            </w:rPr>
            <w:fldChar w:fldCharType="separate"/>
          </w:r>
          <w:r w:rsidR="006C405E">
            <w:rPr>
              <w:rFonts w:ascii="Calibri" w:eastAsia="SimSun" w:hAnsi="Calibri" w:cs="Times New Roman"/>
              <w:b/>
              <w:bCs/>
              <w:caps/>
              <w:noProof/>
              <w:color w:val="9BBB59" w:themeColor="accent3"/>
              <w:lang w:val="es-ES_tradnl"/>
            </w:rPr>
            <w:t>18</w:t>
          </w:r>
          <w:r w:rsidRPr="006465E3">
            <w:rPr>
              <w:rFonts w:ascii="Calibri" w:eastAsia="SimSun" w:hAnsi="Calibri" w:cs="Times New Roman"/>
              <w:b/>
              <w:bCs/>
              <w:caps/>
              <w:noProof/>
              <w:color w:val="9BBB59" w:themeColor="accent3"/>
              <w:lang w:val="fr-CA"/>
            </w:rPr>
            <w:fldChar w:fldCharType="end"/>
          </w:r>
        </w:p>
      </w:tc>
    </w:tr>
  </w:tbl>
  <w:p w:rsidR="00DF3D6B" w:rsidRPr="00BA03D2" w:rsidRDefault="00DF3D6B" w:rsidP="00220D1D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6B" w:rsidRDefault="00DF3D6B" w:rsidP="00385C98">
      <w:pPr>
        <w:spacing w:after="0" w:line="240" w:lineRule="auto"/>
      </w:pPr>
      <w:r>
        <w:separator/>
      </w:r>
    </w:p>
  </w:footnote>
  <w:footnote w:type="continuationSeparator" w:id="0">
    <w:p w:rsidR="00DF3D6B" w:rsidRDefault="00DF3D6B" w:rsidP="0038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6B" w:rsidRDefault="00DF3D6B">
    <w:pPr>
      <w:pStyle w:val="Header"/>
    </w:pPr>
    <w:r>
      <w:rPr>
        <w:noProof/>
        <w:lang w:eastAsia="en-CA"/>
      </w:rPr>
      <w:drawing>
        <wp:inline distT="0" distB="0" distL="0" distR="0" wp14:anchorId="2248C064" wp14:editId="5C0984DB">
          <wp:extent cx="5943600" cy="1838506"/>
          <wp:effectExtent l="0" t="0" r="0" b="9525"/>
          <wp:docPr id="1" name="Picture 1" descr="C:\Users\robinson\AppData\Local\Microsoft\Windows\Temporary Internet Files\Content.Word\EI7WC_Ottawa_Logo_hr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robinson\AppData\Local\Microsoft\Windows\Temporary Internet Files\Content.Word\EI7WC_Ottawa_Logo_hr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8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BC7"/>
    <w:multiLevelType w:val="hybridMultilevel"/>
    <w:tmpl w:val="0562E8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4EA8"/>
    <w:multiLevelType w:val="hybridMultilevel"/>
    <w:tmpl w:val="6EA87C32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39321B"/>
    <w:multiLevelType w:val="hybridMultilevel"/>
    <w:tmpl w:val="DADEF792"/>
    <w:lvl w:ilvl="0" w:tplc="10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192F643C"/>
    <w:multiLevelType w:val="hybridMultilevel"/>
    <w:tmpl w:val="FC0043F0"/>
    <w:lvl w:ilvl="0" w:tplc="AEF0B6B8">
      <w:start w:val="1"/>
      <w:numFmt w:val="decimal"/>
      <w:lvlText w:val="%1."/>
      <w:lvlJc w:val="left"/>
      <w:pPr>
        <w:ind w:left="786" w:hanging="360"/>
      </w:pPr>
      <w:rPr>
        <w:rFonts w:hint="default"/>
        <w:lang w:val="es-ES_tradnl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B7690F"/>
    <w:multiLevelType w:val="hybridMultilevel"/>
    <w:tmpl w:val="7DCC6972"/>
    <w:lvl w:ilvl="0" w:tplc="050E5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43630F"/>
    <w:multiLevelType w:val="hybridMultilevel"/>
    <w:tmpl w:val="15129DFA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5583CB7"/>
    <w:multiLevelType w:val="hybridMultilevel"/>
    <w:tmpl w:val="DB20EB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43E8A"/>
    <w:multiLevelType w:val="hybridMultilevel"/>
    <w:tmpl w:val="097C3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05B97"/>
    <w:multiLevelType w:val="hybridMultilevel"/>
    <w:tmpl w:val="DC6A503E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FDC2F3B"/>
    <w:multiLevelType w:val="hybridMultilevel"/>
    <w:tmpl w:val="56986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C71BF"/>
    <w:multiLevelType w:val="hybridMultilevel"/>
    <w:tmpl w:val="0B9CA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707FE"/>
    <w:multiLevelType w:val="hybridMultilevel"/>
    <w:tmpl w:val="A4827D2C"/>
    <w:lvl w:ilvl="0" w:tplc="10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>
    <w:nsid w:val="4E543515"/>
    <w:multiLevelType w:val="hybridMultilevel"/>
    <w:tmpl w:val="55A614DE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1072E13"/>
    <w:multiLevelType w:val="hybridMultilevel"/>
    <w:tmpl w:val="71042C60"/>
    <w:lvl w:ilvl="0" w:tplc="90CEAC9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A0DEC"/>
    <w:multiLevelType w:val="hybridMultilevel"/>
    <w:tmpl w:val="8BCCB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D74CD"/>
    <w:multiLevelType w:val="hybridMultilevel"/>
    <w:tmpl w:val="80A22BF4"/>
    <w:lvl w:ilvl="0" w:tplc="1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208D3"/>
    <w:multiLevelType w:val="hybridMultilevel"/>
    <w:tmpl w:val="76A87C5A"/>
    <w:lvl w:ilvl="0" w:tplc="90CEAC9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50383"/>
    <w:multiLevelType w:val="hybridMultilevel"/>
    <w:tmpl w:val="DB76C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A53C7"/>
    <w:multiLevelType w:val="hybridMultilevel"/>
    <w:tmpl w:val="93C2DF16"/>
    <w:lvl w:ilvl="0" w:tplc="90CEAC9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16"/>
  </w:num>
  <w:num w:numId="8">
    <w:abstractNumId w:val="14"/>
  </w:num>
  <w:num w:numId="9">
    <w:abstractNumId w:val="13"/>
  </w:num>
  <w:num w:numId="10">
    <w:abstractNumId w:val="18"/>
  </w:num>
  <w:num w:numId="11">
    <w:abstractNumId w:val="15"/>
  </w:num>
  <w:num w:numId="12">
    <w:abstractNumId w:val="0"/>
  </w:num>
  <w:num w:numId="13">
    <w:abstractNumId w:val="9"/>
  </w:num>
  <w:num w:numId="14">
    <w:abstractNumId w:val="17"/>
  </w:num>
  <w:num w:numId="15">
    <w:abstractNumId w:val="1"/>
  </w:num>
  <w:num w:numId="16">
    <w:abstractNumId w:val="5"/>
  </w:num>
  <w:num w:numId="17">
    <w:abstractNumId w:val="12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68"/>
    <w:rsid w:val="00065108"/>
    <w:rsid w:val="00097C4A"/>
    <w:rsid w:val="000A1DB0"/>
    <w:rsid w:val="00117804"/>
    <w:rsid w:val="00220D1D"/>
    <w:rsid w:val="00276E79"/>
    <w:rsid w:val="00385C98"/>
    <w:rsid w:val="003E02D6"/>
    <w:rsid w:val="00486A32"/>
    <w:rsid w:val="004F4D94"/>
    <w:rsid w:val="00511E76"/>
    <w:rsid w:val="00592634"/>
    <w:rsid w:val="005A6BF5"/>
    <w:rsid w:val="006020A9"/>
    <w:rsid w:val="006465E3"/>
    <w:rsid w:val="006C405E"/>
    <w:rsid w:val="007017BB"/>
    <w:rsid w:val="008105CF"/>
    <w:rsid w:val="00882A55"/>
    <w:rsid w:val="00962070"/>
    <w:rsid w:val="00A231A9"/>
    <w:rsid w:val="00A70B04"/>
    <w:rsid w:val="00A92068"/>
    <w:rsid w:val="00AB6581"/>
    <w:rsid w:val="00BA03D2"/>
    <w:rsid w:val="00CD1FE9"/>
    <w:rsid w:val="00CD7711"/>
    <w:rsid w:val="00D06F65"/>
    <w:rsid w:val="00D15F5B"/>
    <w:rsid w:val="00D74A55"/>
    <w:rsid w:val="00D802D3"/>
    <w:rsid w:val="00DB0755"/>
    <w:rsid w:val="00DF3D6B"/>
    <w:rsid w:val="00F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1FE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1FE9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 w:cs="Times New Roman"/>
      <w:b/>
      <w:bCs/>
      <w:sz w:val="36"/>
      <w:szCs w:val="36"/>
      <w:lang w:val="x-none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98"/>
  </w:style>
  <w:style w:type="paragraph" w:styleId="Footer">
    <w:name w:val="footer"/>
    <w:basedOn w:val="Normal"/>
    <w:link w:val="FooterChar"/>
    <w:uiPriority w:val="99"/>
    <w:unhideWhenUsed/>
    <w:rsid w:val="0038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98"/>
  </w:style>
  <w:style w:type="character" w:customStyle="1" w:styleId="Heading2Char">
    <w:name w:val="Heading 2 Char"/>
    <w:basedOn w:val="DefaultParagraphFont"/>
    <w:link w:val="Heading2"/>
    <w:uiPriority w:val="9"/>
    <w:semiHidden/>
    <w:rsid w:val="004F4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CD1FE9"/>
    <w:rPr>
      <w:rFonts w:ascii="Times New Roman" w:eastAsia="Times New Roman" w:hAnsi="Times New Roman" w:cs="Times New Roman"/>
      <w:b/>
      <w:bCs/>
      <w:sz w:val="28"/>
      <w:szCs w:val="28"/>
      <w:lang w:val="x-none" w:eastAsia="en-GB"/>
    </w:rPr>
  </w:style>
  <w:style w:type="character" w:customStyle="1" w:styleId="Heading4Char">
    <w:name w:val="Heading 4 Char"/>
    <w:basedOn w:val="DefaultParagraphFont"/>
    <w:link w:val="Heading4"/>
    <w:rsid w:val="00CD1FE9"/>
    <w:rPr>
      <w:rFonts w:ascii="Arial" w:eastAsia="Times New Roman" w:hAnsi="Arial" w:cs="Times New Roman"/>
      <w:b/>
      <w:bCs/>
      <w:sz w:val="36"/>
      <w:szCs w:val="36"/>
      <w:lang w:val="x-none" w:eastAsia="en-GB"/>
    </w:rPr>
  </w:style>
  <w:style w:type="paragraph" w:styleId="ListParagraph">
    <w:name w:val="List Paragraph"/>
    <w:basedOn w:val="Normal"/>
    <w:uiPriority w:val="34"/>
    <w:qFormat/>
    <w:rsid w:val="00CD1FE9"/>
    <w:pPr>
      <w:ind w:left="720"/>
      <w:contextualSpacing/>
    </w:pPr>
  </w:style>
  <w:style w:type="character" w:styleId="Hyperlink">
    <w:name w:val="Hyperlink"/>
    <w:uiPriority w:val="99"/>
    <w:unhideWhenUsed/>
    <w:rsid w:val="005A6BF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F3D6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3D6B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1FE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1FE9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 w:cs="Times New Roman"/>
      <w:b/>
      <w:bCs/>
      <w:sz w:val="36"/>
      <w:szCs w:val="36"/>
      <w:lang w:val="x-none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98"/>
  </w:style>
  <w:style w:type="paragraph" w:styleId="Footer">
    <w:name w:val="footer"/>
    <w:basedOn w:val="Normal"/>
    <w:link w:val="FooterChar"/>
    <w:uiPriority w:val="99"/>
    <w:unhideWhenUsed/>
    <w:rsid w:val="0038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98"/>
  </w:style>
  <w:style w:type="character" w:customStyle="1" w:styleId="Heading2Char">
    <w:name w:val="Heading 2 Char"/>
    <w:basedOn w:val="DefaultParagraphFont"/>
    <w:link w:val="Heading2"/>
    <w:uiPriority w:val="9"/>
    <w:semiHidden/>
    <w:rsid w:val="004F4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CD1FE9"/>
    <w:rPr>
      <w:rFonts w:ascii="Times New Roman" w:eastAsia="Times New Roman" w:hAnsi="Times New Roman" w:cs="Times New Roman"/>
      <w:b/>
      <w:bCs/>
      <w:sz w:val="28"/>
      <w:szCs w:val="28"/>
      <w:lang w:val="x-none" w:eastAsia="en-GB"/>
    </w:rPr>
  </w:style>
  <w:style w:type="character" w:customStyle="1" w:styleId="Heading4Char">
    <w:name w:val="Heading 4 Char"/>
    <w:basedOn w:val="DefaultParagraphFont"/>
    <w:link w:val="Heading4"/>
    <w:rsid w:val="00CD1FE9"/>
    <w:rPr>
      <w:rFonts w:ascii="Arial" w:eastAsia="Times New Roman" w:hAnsi="Arial" w:cs="Times New Roman"/>
      <w:b/>
      <w:bCs/>
      <w:sz w:val="36"/>
      <w:szCs w:val="36"/>
      <w:lang w:val="x-none" w:eastAsia="en-GB"/>
    </w:rPr>
  </w:style>
  <w:style w:type="paragraph" w:styleId="ListParagraph">
    <w:name w:val="List Paragraph"/>
    <w:basedOn w:val="Normal"/>
    <w:uiPriority w:val="34"/>
    <w:qFormat/>
    <w:rsid w:val="00CD1FE9"/>
    <w:pPr>
      <w:ind w:left="720"/>
      <w:contextualSpacing/>
    </w:pPr>
  </w:style>
  <w:style w:type="character" w:styleId="Hyperlink">
    <w:name w:val="Hyperlink"/>
    <w:uiPriority w:val="99"/>
    <w:unhideWhenUsed/>
    <w:rsid w:val="005A6BF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F3D6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3D6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I Document" ma:contentTypeID="0x010100AA2F8202531E2B479DC903BD7BCD5C3F00E04239BAE3CFF643A8203BF81E96DC51" ma:contentTypeVersion="53" ma:contentTypeDescription="" ma:contentTypeScope="" ma:versionID="3ecdb67ee59564c7ec43419591cb38be">
  <xsd:schema xmlns:xsd="http://www.w3.org/2001/XMLSchema" xmlns:xs="http://www.w3.org/2001/XMLSchema" xmlns:p="http://schemas.microsoft.com/office/2006/metadata/properties" xmlns:ns2="db13979b-e751-4565-a77b-71e7edb4f069" targetNamespace="http://schemas.microsoft.com/office/2006/metadata/properties" ma:root="true" ma:fieldsID="68c9f9e723ff3b8d29c1e4b1699411ec" ns2:_="">
    <xsd:import namespace="db13979b-e751-4565-a77b-71e7edb4f069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DocumentLanguage" minOccurs="0"/>
                <xsd:element ref="ns2:AvailableOnWebsite" minOccurs="0"/>
                <xsd:element ref="ns2:EIRegion" minOccurs="0"/>
                <xsd:element ref="ns2:EIUnit" minOccurs="0"/>
                <xsd:element ref="ns2:EIOrgan" minOccurs="0"/>
                <xsd:element ref="ns2:EI_x0020_Event" minOccurs="0"/>
                <xsd:element ref="ns2:EITopic" minOccurs="0"/>
                <xsd:element ref="ns2:DocumentSource" minOccurs="0"/>
                <xsd:element ref="ns2:EITermbaseTaxHTField0" minOccurs="0"/>
                <xsd:element ref="ns2:TaxCatchAll" minOccurs="0"/>
                <xsd:element ref="ns2:TaxCatchAllLabel" minOccurs="0"/>
                <xsd:element ref="ns2:l360261a294540c48d9b0fdee2fb1d22" minOccurs="0"/>
                <xsd:element ref="ns2:hd0be951f11940a08013d67eec6505c8" minOccurs="0"/>
                <xsd:element ref="ns2:o79ce48fd8d44e5eaac3fd0fc82a2951" minOccurs="0"/>
                <xsd:element ref="ns2:kd7281ab553349538e0242a0ee89a9e1" minOccurs="0"/>
                <xsd:element ref="ns2:i64256cf79b641ea809ba8b9a806956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979b-e751-4565-a77b-71e7edb4f069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description="EI document date." ma:format="DateOnly" ma:internalName="Date">
      <xsd:simpleType>
        <xsd:restriction base="dms:DateTime"/>
      </xsd:simpleType>
    </xsd:element>
    <xsd:element name="DocumentLanguage" ma:index="5" nillable="true" ma:displayName="Document Language" ma:default="English" ma:format="RadioButtons" ma:internalName="DocumentLanguage">
      <xsd:simpleType>
        <xsd:restriction base="dms:Choice">
          <xsd:enumeration value="English"/>
          <xsd:enumeration value="French"/>
          <xsd:enumeration value="Spanish"/>
          <xsd:enumeration value="Other"/>
          <xsd:enumeration value="Multiple"/>
        </xsd:restriction>
      </xsd:simpleType>
    </xsd:element>
    <xsd:element name="AvailableOnWebsite" ma:index="6" nillable="true" ma:displayName="Available On Website" ma:default="1" ma:description="Make this document available on the public EI website." ma:internalName="AvailableOnWebsite">
      <xsd:simpleType>
        <xsd:restriction base="dms:Boolean"/>
      </xsd:simpleType>
    </xsd:element>
    <xsd:element name="EIRegion" ma:index="7" nillable="true" ma:displayName="EI Region" ma:description="Education International region." ma:hidden="true" ma:list="{29c7dc5d-89a6-4101-a71e-0c6c975a07cf}" ma:internalName="EIRegion" ma:readOnly="false" ma:showField="Title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IUnit" ma:index="8" nillable="true" ma:displayName="EI Unit" ma:hidden="true" ma:list="068bb678-3c6d-45ba-97bd-4f06a914f196" ma:internalName="EIUnit" ma:readOnly="false" ma:showField="Title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IOrgan" ma:index="9" nillable="true" ma:displayName="EI Group" ma:hidden="true" ma:list="{2698a646-4c05-4ac8-9e4f-4a88bcd5d2e2}" ma:internalName="EIOrgan" ma:readOnly="false" ma:showField="Title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I_x0020_Event" ma:index="11" nillable="true" ma:displayName="EI Event" ma:hidden="true" ma:list="{0292d145-1b29-4696-ba3c-d4afe19ee511}" ma:internalName="EI_x0020_Event" ma:readOnly="false" ma:showField="EventTitleForChoiceDropdown" ma:web="db13979b-e751-4565-a77b-71e7edb4f069">
      <xsd:simpleType>
        <xsd:restriction base="dms:Lookup"/>
      </xsd:simpleType>
    </xsd:element>
    <xsd:element name="EITopic" ma:index="12" nillable="true" ma:displayName="EI Topic" ma:hidden="true" ma:list="dd9f5b98-3a89-4125-b977-90d82d0197dd" ma:internalName="EITopic" ma:readOnly="false" ma:showField="Title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Source" ma:index="13" nillable="true" ma:displayName="Document Source" ma:description="Organisation which issued the document." ma:list="{49ba241f-8346-4576-b9e1-b1a7b41f86e8}" ma:internalName="DocumentSource" ma:showField="Title" ma:web="db13979b-e751-4565-a77b-71e7edb4f069">
      <xsd:simpleType>
        <xsd:restriction base="dms:Lookup"/>
      </xsd:simpleType>
    </xsd:element>
    <xsd:element name="EITermbaseTaxHTField0" ma:index="19" nillable="true" ma:taxonomy="true" ma:internalName="EITermbaseTaxHTField0" ma:taxonomyFieldName="EITermbase" ma:displayName="EIDocType" ma:readOnly="false" ma:default="" ma:fieldId="{58649bc0-05b1-4c82-b72c-a96912b32633}" ma:taxonomyMulti="true" ma:sspId="0af2f461-2480-4a31-ac78-b054563ee389" ma:termSetId="2591b47b-c34c-4ee1-a350-73f6d52a178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e31c9898-5599-4d3d-bde2-aae45224e11b}" ma:internalName="TaxCatchAll" ma:showField="CatchAllData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31c9898-5599-4d3d-bde2-aae45224e11b}" ma:internalName="TaxCatchAllLabel" ma:readOnly="true" ma:showField="CatchAllDataLabel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60261a294540c48d9b0fdee2fb1d22" ma:index="23" nillable="true" ma:taxonomy="true" ma:internalName="l360261a294540c48d9b0fdee2fb1d22" ma:taxonomyFieldName="EIEvent" ma:displayName="EIEvent" ma:default="" ma:fieldId="{5360261a-2945-40c4-8d9b-0fdee2fb1d22}" ma:taxonomyMulti="true" ma:sspId="0af2f461-2480-4a31-ac78-b054563ee389" ma:termSetId="46d855b6-eb13-4760-91d1-66f27ae7dc3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d0be951f11940a08013d67eec6505c8" ma:index="25" nillable="true" ma:taxonomy="true" ma:internalName="hd0be951f11940a08013d67eec6505c8" ma:taxonomyFieldName="EIUnit1" ma:displayName="EIUnit" ma:readOnly="false" ma:default="" ma:fieldId="{1d0be951-f119-40a0-8013-d67eec6505c8}" ma:taxonomyMulti="true" ma:sspId="0af2f461-2480-4a31-ac78-b054563ee389" ma:termSetId="5f7ca6b7-bc5d-4a29-b9c5-9d61f96be7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9ce48fd8d44e5eaac3fd0fc82a2951" ma:index="27" nillable="true" ma:taxonomy="true" ma:internalName="o79ce48fd8d44e5eaac3fd0fc82a2951" ma:taxonomyFieldName="EIGroup" ma:displayName="EIGroup" ma:default="" ma:fieldId="{879ce48f-d8d4-4e5e-aac3-fd0fc82a2951}" ma:taxonomyMulti="true" ma:sspId="0af2f461-2480-4a31-ac78-b054563ee389" ma:termSetId="1e97bc08-ae7e-4277-9be6-12765f62b2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7281ab553349538e0242a0ee89a9e1" ma:index="29" nillable="true" ma:taxonomy="true" ma:internalName="kd7281ab553349538e0242a0ee89a9e1" ma:taxonomyFieldName="EITopic1" ma:displayName="EITopic" ma:default="" ma:fieldId="{4d7281ab-5533-4953-8e02-42a0ee89a9e1}" ma:taxonomyMulti="true" ma:sspId="0af2f461-2480-4a31-ac78-b054563ee389" ma:termSetId="e2436a82-f458-4e28-a4e0-fa06e0b951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4256cf79b641ea809ba8b9a8069568" ma:index="31" nillable="true" ma:taxonomy="true" ma:internalName="i64256cf79b641ea809ba8b9a8069568" ma:taxonomyFieldName="EIRegion1" ma:displayName="EIRegion" ma:default="" ma:fieldId="{264256cf-79b6-41ea-809b-a8b9a8069568}" ma:taxonomyMulti="true" ma:sspId="0af2f461-2480-4a31-ac78-b054563ee389" ma:termSetId="126f87e2-8982-4d73-8d0c-1d6ec05017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>http://portal/_cts/EIDocument/8b5470c660bc9b5ccustomXsn.xsn</xsnLocation>
  <cached>True</cached>
  <openByDefault>True</openByDefault>
  <xsnScope>http://portal</xsnScope>
</customXs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Unit xmlns="db13979b-e751-4565-a77b-71e7edb4f069"/>
    <l360261a294540c48d9b0fdee2fb1d22 xmlns="db13979b-e751-4565-a77b-71e7edb4f069">
      <Terms xmlns="http://schemas.microsoft.com/office/infopath/2007/PartnerControls"/>
    </l360261a294540c48d9b0fdee2fb1d22>
    <EIRegion xmlns="db13979b-e751-4565-a77b-71e7edb4f069"/>
    <AvailableOnWebsite xmlns="db13979b-e751-4565-a77b-71e7edb4f069">true</AvailableOnWebsite>
    <EIOrgan xmlns="db13979b-e751-4565-a77b-71e7edb4f069"/>
    <EI_x0020_Event xmlns="db13979b-e751-4565-a77b-71e7edb4f069" xsi:nil="true"/>
    <kd7281ab553349538e0242a0ee89a9e1 xmlns="db13979b-e751-4565-a77b-71e7edb4f069">
      <Terms xmlns="http://schemas.microsoft.com/office/infopath/2007/PartnerControls"/>
    </kd7281ab553349538e0242a0ee89a9e1>
    <i64256cf79b641ea809ba8b9a8069568 xmlns="db13979b-e751-4565-a77b-71e7edb4f069">
      <Terms xmlns="http://schemas.microsoft.com/office/infopath/2007/PartnerControls"/>
    </i64256cf79b641ea809ba8b9a8069568>
    <EITopic xmlns="db13979b-e751-4565-a77b-71e7edb4f069"/>
    <DocumentSource xmlns="db13979b-e751-4565-a77b-71e7edb4f069" xsi:nil="true"/>
    <DocumentLanguage xmlns="db13979b-e751-4565-a77b-71e7edb4f069">English</DocumentLanguage>
    <o79ce48fd8d44e5eaac3fd0fc82a2951 xmlns="db13979b-e751-4565-a77b-71e7edb4f069">
      <Terms xmlns="http://schemas.microsoft.com/office/infopath/2007/PartnerControls"/>
    </o79ce48fd8d44e5eaac3fd0fc82a2951>
    <EITermbaseTaxHTField0 xmlns="db13979b-e751-4565-a77b-71e7edb4f069">
      <Terms xmlns="http://schemas.microsoft.com/office/infopath/2007/PartnerControls"/>
    </EITermbaseTaxHTField0>
    <TaxCatchAll xmlns="db13979b-e751-4565-a77b-71e7edb4f069"/>
    <Date xmlns="db13979b-e751-4565-a77b-71e7edb4f069" xsi:nil="true"/>
    <hd0be951f11940a08013d67eec6505c8 xmlns="db13979b-e751-4565-a77b-71e7edb4f069">
      <Terms xmlns="http://schemas.microsoft.com/office/infopath/2007/PartnerControls"/>
    </hd0be951f11940a08013d67eec6505c8>
  </documentManagement>
</p:properties>
</file>

<file path=customXml/itemProps1.xml><?xml version="1.0" encoding="utf-8"?>
<ds:datastoreItem xmlns:ds="http://schemas.openxmlformats.org/officeDocument/2006/customXml" ds:itemID="{3E64BB81-C563-4EC6-B1F5-0A5AD4EBB7E9}"/>
</file>

<file path=customXml/itemProps2.xml><?xml version="1.0" encoding="utf-8"?>
<ds:datastoreItem xmlns:ds="http://schemas.openxmlformats.org/officeDocument/2006/customXml" ds:itemID="{0EF0A61D-71D7-45B4-9C83-8B1004D4AE46}"/>
</file>

<file path=customXml/itemProps3.xml><?xml version="1.0" encoding="utf-8"?>
<ds:datastoreItem xmlns:ds="http://schemas.openxmlformats.org/officeDocument/2006/customXml" ds:itemID="{8146BE26-8B69-40E3-A3A2-66650E664B2D}"/>
</file>

<file path=customXml/itemProps4.xml><?xml version="1.0" encoding="utf-8"?>
<ds:datastoreItem xmlns:ds="http://schemas.openxmlformats.org/officeDocument/2006/customXml" ds:itemID="{8F1740A1-409B-4CAA-A084-36113BB7AC38}"/>
</file>

<file path=customXml/itemProps5.xml><?xml version="1.0" encoding="utf-8"?>
<ds:datastoreItem xmlns:ds="http://schemas.openxmlformats.org/officeDocument/2006/customXml" ds:itemID="{A17B442D-555B-48D8-8E1B-D6B3CC71679B}"/>
</file>

<file path=docProps/app.xml><?xml version="1.0" encoding="utf-8"?>
<Properties xmlns="http://schemas.openxmlformats.org/officeDocument/2006/extended-properties" xmlns:vt="http://schemas.openxmlformats.org/officeDocument/2006/docPropsVTypes">
  <Template>3A5E34AC</Template>
  <TotalTime>313</TotalTime>
  <Pages>19</Pages>
  <Words>4110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5</cp:revision>
  <dcterms:created xsi:type="dcterms:W3CDTF">2015-07-08T21:14:00Z</dcterms:created>
  <dcterms:modified xsi:type="dcterms:W3CDTF">2015-07-10T15:55:00Z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0x010100AA2F8202531E2B479DC903BD7BCD5C3F00E04239BAE3CFF643A8203BF81E96DC51</vt:lpwstr>
  </property>
</Properties>
</file>