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C0CEB1" w14:textId="77777777" w:rsidR="00915533" w:rsidRPr="00381B60" w:rsidRDefault="00C266F4" w:rsidP="00C266F4">
      <w:pPr>
        <w:spacing w:after="0"/>
        <w:jc w:val="center"/>
        <w:rPr>
          <w:rFonts w:asciiTheme="majorHAnsi" w:hAnsiTheme="majorHAnsi"/>
          <w:b/>
          <w:color w:val="675E47" w:themeColor="text2"/>
          <w:sz w:val="36"/>
          <w:szCs w:val="36"/>
          <w:lang w:val="fr-FR"/>
        </w:rPr>
      </w:pPr>
      <w:r w:rsidRPr="00381B60">
        <w:rPr>
          <w:rFonts w:asciiTheme="majorHAnsi" w:hAnsiTheme="majorHAnsi"/>
          <w:b/>
          <w:color w:val="675E47" w:themeColor="text2"/>
          <w:sz w:val="36"/>
          <w:szCs w:val="36"/>
          <w:lang w:val="fr-FR"/>
        </w:rPr>
        <w:t>Conférence internationale de l</w:t>
      </w:r>
      <w:r w:rsidR="00381B60" w:rsidRPr="00381B60">
        <w:rPr>
          <w:rFonts w:asciiTheme="majorHAnsi" w:hAnsiTheme="majorHAnsi"/>
          <w:b/>
          <w:color w:val="675E47" w:themeColor="text2"/>
          <w:sz w:val="36"/>
          <w:szCs w:val="36"/>
          <w:lang w:val="fr-FR"/>
        </w:rPr>
        <w:t>’</w:t>
      </w:r>
      <w:r w:rsidRPr="00381B60">
        <w:rPr>
          <w:rFonts w:asciiTheme="majorHAnsi" w:hAnsiTheme="majorHAnsi"/>
          <w:b/>
          <w:color w:val="675E47" w:themeColor="text2"/>
          <w:sz w:val="36"/>
          <w:szCs w:val="36"/>
          <w:lang w:val="fr-FR"/>
        </w:rPr>
        <w:t>IE sur l</w:t>
      </w:r>
      <w:r w:rsidR="00381B60" w:rsidRPr="00381B60">
        <w:rPr>
          <w:rFonts w:asciiTheme="majorHAnsi" w:hAnsiTheme="majorHAnsi"/>
          <w:b/>
          <w:color w:val="675E47" w:themeColor="text2"/>
          <w:sz w:val="36"/>
          <w:szCs w:val="36"/>
          <w:lang w:val="fr-FR"/>
        </w:rPr>
        <w:t>’</w:t>
      </w:r>
      <w:r w:rsidRPr="00381B60">
        <w:rPr>
          <w:rFonts w:asciiTheme="majorHAnsi" w:hAnsiTheme="majorHAnsi"/>
          <w:b/>
          <w:color w:val="675E47" w:themeColor="text2"/>
          <w:sz w:val="36"/>
          <w:szCs w:val="36"/>
          <w:lang w:val="fr-FR"/>
        </w:rPr>
        <w:t>enseignement supérieur et la recherche</w:t>
      </w:r>
    </w:p>
    <w:p w14:paraId="57C61EB0" w14:textId="77777777" w:rsidR="00C266F4" w:rsidRPr="00381B60" w:rsidRDefault="00C266F4" w:rsidP="00381B60">
      <w:pPr>
        <w:spacing w:after="0"/>
        <w:jc w:val="center"/>
        <w:outlineLvl w:val="0"/>
        <w:rPr>
          <w:rFonts w:asciiTheme="majorHAnsi" w:hAnsiTheme="majorHAnsi"/>
          <w:b/>
          <w:color w:val="675E47" w:themeColor="text2"/>
          <w:sz w:val="36"/>
          <w:szCs w:val="36"/>
          <w:lang w:val="fr-FR"/>
        </w:rPr>
      </w:pPr>
      <w:r w:rsidRPr="00381B60">
        <w:rPr>
          <w:rFonts w:asciiTheme="majorHAnsi" w:hAnsiTheme="majorHAnsi"/>
          <w:b/>
          <w:color w:val="675E47" w:themeColor="text2"/>
          <w:sz w:val="36"/>
          <w:szCs w:val="36"/>
          <w:lang w:val="fr-FR"/>
        </w:rPr>
        <w:t>Accra, Ghana</w:t>
      </w:r>
    </w:p>
    <w:p w14:paraId="66941D3A" w14:textId="77777777" w:rsidR="00C266F4" w:rsidRPr="00381B60" w:rsidRDefault="00C266F4" w:rsidP="00381B60">
      <w:pPr>
        <w:spacing w:after="0"/>
        <w:jc w:val="center"/>
        <w:outlineLvl w:val="0"/>
        <w:rPr>
          <w:rFonts w:asciiTheme="majorHAnsi" w:hAnsiTheme="majorHAnsi"/>
          <w:b/>
          <w:color w:val="675E47" w:themeColor="text2"/>
          <w:sz w:val="36"/>
          <w:szCs w:val="36"/>
          <w:lang w:val="fr-FR"/>
        </w:rPr>
      </w:pPr>
      <w:r w:rsidRPr="00381B60">
        <w:rPr>
          <w:rFonts w:asciiTheme="majorHAnsi" w:hAnsiTheme="majorHAnsi"/>
          <w:b/>
          <w:color w:val="675E47" w:themeColor="text2"/>
          <w:sz w:val="36"/>
          <w:szCs w:val="36"/>
          <w:lang w:val="fr-FR"/>
        </w:rPr>
        <w:t>10-12 novembre 2014</w:t>
      </w:r>
    </w:p>
    <w:p w14:paraId="5B322B5C" w14:textId="77777777" w:rsidR="00C266F4" w:rsidRPr="00381B60" w:rsidRDefault="00C266F4" w:rsidP="00381B60">
      <w:pPr>
        <w:jc w:val="center"/>
        <w:outlineLvl w:val="0"/>
        <w:rPr>
          <w:rFonts w:asciiTheme="majorHAnsi" w:hAnsiTheme="majorHAnsi"/>
          <w:b/>
          <w:i/>
          <w:lang w:val="fr-FR"/>
        </w:rPr>
      </w:pPr>
      <w:r w:rsidRPr="00381B60">
        <w:rPr>
          <w:rFonts w:asciiTheme="majorHAnsi" w:hAnsiTheme="majorHAnsi"/>
          <w:b/>
          <w:i/>
          <w:lang w:val="fr-FR"/>
        </w:rPr>
        <w:t xml:space="preserve">Projet de programme </w:t>
      </w:r>
    </w:p>
    <w:p w14:paraId="2EB65AD7" w14:textId="77777777" w:rsidR="000730ED" w:rsidRPr="00381B60" w:rsidRDefault="000730ED" w:rsidP="00C266F4">
      <w:pPr>
        <w:jc w:val="center"/>
        <w:rPr>
          <w:rFonts w:asciiTheme="majorHAnsi" w:hAnsiTheme="majorHAnsi"/>
          <w:b/>
          <w:i/>
          <w:lang w:val="fr-FR"/>
        </w:rPr>
      </w:pPr>
    </w:p>
    <w:p w14:paraId="24C7AB98" w14:textId="77777777" w:rsidR="00C266F4" w:rsidRPr="00381B60" w:rsidRDefault="00C266F4" w:rsidP="00381B60">
      <w:pPr>
        <w:shd w:val="clear" w:color="auto" w:fill="FFFFFF" w:themeFill="background1"/>
        <w:ind w:left="720" w:firstLine="720"/>
        <w:outlineLvl w:val="0"/>
        <w:rPr>
          <w:rFonts w:asciiTheme="majorHAnsi" w:hAnsiTheme="majorHAnsi"/>
          <w:b/>
          <w:color w:val="B1A089" w:themeColor="accent6"/>
          <w:sz w:val="48"/>
          <w:szCs w:val="48"/>
          <w:lang w:val="fr-FR"/>
        </w:rPr>
      </w:pPr>
      <w:r w:rsidRPr="00381B60">
        <w:rPr>
          <w:rFonts w:asciiTheme="majorHAnsi" w:hAnsiTheme="majorHAnsi"/>
          <w:b/>
          <w:color w:val="B1A089" w:themeColor="accent6"/>
          <w:sz w:val="48"/>
          <w:szCs w:val="48"/>
          <w:lang w:val="fr-FR"/>
        </w:rPr>
        <w:t>Dimanche 9 novembre</w:t>
      </w:r>
    </w:p>
    <w:p w14:paraId="1B0EB69F" w14:textId="77777777" w:rsidR="00C266F4" w:rsidRPr="00381B60" w:rsidRDefault="0012774C" w:rsidP="00381B60">
      <w:pPr>
        <w:ind w:left="1440" w:hanging="1440"/>
        <w:rPr>
          <w:rFonts w:asciiTheme="majorHAnsi" w:hAnsiTheme="majorHAnsi"/>
          <w:lang w:val="fr-FR"/>
        </w:rPr>
      </w:pPr>
      <w:r w:rsidRPr="00381B60">
        <w:rPr>
          <w:rFonts w:asciiTheme="majorHAnsi" w:hAnsiTheme="majorHAnsi"/>
          <w:lang w:val="fr-FR"/>
        </w:rPr>
        <w:t>13:00 – 17:00</w:t>
      </w:r>
      <w:r w:rsidRPr="00381B60">
        <w:rPr>
          <w:rFonts w:asciiTheme="majorHAnsi" w:hAnsiTheme="majorHAnsi"/>
          <w:lang w:val="fr-FR"/>
        </w:rPr>
        <w:tab/>
      </w:r>
      <w:r w:rsidR="00C266F4" w:rsidRPr="00381B60">
        <w:rPr>
          <w:rFonts w:asciiTheme="majorHAnsi" w:hAnsiTheme="majorHAnsi"/>
          <w:b/>
          <w:color w:val="675E47" w:themeColor="text2"/>
          <w:lang w:val="fr-FR"/>
        </w:rPr>
        <w:t>Réunion des syndicats de l</w:t>
      </w:r>
      <w:r w:rsidR="00381B60" w:rsidRPr="00381B60">
        <w:rPr>
          <w:rFonts w:asciiTheme="majorHAnsi" w:hAnsiTheme="majorHAnsi"/>
          <w:b/>
          <w:color w:val="675E47" w:themeColor="text2"/>
          <w:lang w:val="fr-FR"/>
        </w:rPr>
        <w:t>’</w:t>
      </w:r>
      <w:r w:rsidR="00C266F4" w:rsidRPr="00381B60">
        <w:rPr>
          <w:rFonts w:asciiTheme="majorHAnsi" w:hAnsiTheme="majorHAnsi"/>
          <w:b/>
          <w:color w:val="675E47" w:themeColor="text2"/>
          <w:lang w:val="fr-FR"/>
        </w:rPr>
        <w:t>enseignement supérieur de la région africaine, préalable à la conférence</w:t>
      </w:r>
      <w:r w:rsidR="005C3345" w:rsidRPr="00381B60">
        <w:rPr>
          <w:rFonts w:asciiTheme="majorHAnsi" w:hAnsiTheme="majorHAnsi"/>
          <w:lang w:val="fr-FR"/>
        </w:rPr>
        <w:br/>
      </w:r>
    </w:p>
    <w:p w14:paraId="1E80A16B" w14:textId="77777777" w:rsidR="00C266F4" w:rsidRPr="00381B60" w:rsidRDefault="00C266F4" w:rsidP="00381B60">
      <w:pPr>
        <w:shd w:val="clear" w:color="auto" w:fill="FFFFFF" w:themeFill="background1"/>
        <w:ind w:left="720" w:firstLine="720"/>
        <w:outlineLvl w:val="0"/>
        <w:rPr>
          <w:rFonts w:asciiTheme="majorHAnsi" w:hAnsiTheme="majorHAnsi"/>
          <w:b/>
          <w:color w:val="B1A089" w:themeColor="accent6"/>
          <w:sz w:val="48"/>
          <w:szCs w:val="48"/>
          <w:lang w:val="fr-FR"/>
        </w:rPr>
      </w:pPr>
      <w:r w:rsidRPr="00381B60">
        <w:rPr>
          <w:rFonts w:asciiTheme="majorHAnsi" w:hAnsiTheme="majorHAnsi"/>
          <w:b/>
          <w:color w:val="B1A089" w:themeColor="accent6"/>
          <w:sz w:val="48"/>
          <w:szCs w:val="48"/>
          <w:lang w:val="fr-FR"/>
        </w:rPr>
        <w:t>Lundi 10 novembre</w:t>
      </w:r>
    </w:p>
    <w:p w14:paraId="47BD4D6D" w14:textId="77777777" w:rsidR="000730ED" w:rsidRPr="00381B60" w:rsidRDefault="000730ED" w:rsidP="00C266F4">
      <w:pPr>
        <w:rPr>
          <w:rFonts w:asciiTheme="majorHAnsi" w:hAnsiTheme="majorHAnsi"/>
          <w:lang w:val="fr-FR"/>
        </w:rPr>
      </w:pPr>
    </w:p>
    <w:p w14:paraId="44503A58" w14:textId="77777777" w:rsidR="00C266F4" w:rsidRPr="00381B60" w:rsidRDefault="00C266F4" w:rsidP="00C266F4">
      <w:pPr>
        <w:rPr>
          <w:rFonts w:asciiTheme="majorHAnsi" w:hAnsiTheme="majorHAnsi"/>
          <w:lang w:val="fr-FR"/>
        </w:rPr>
      </w:pPr>
      <w:r w:rsidRPr="00381B60">
        <w:rPr>
          <w:rFonts w:asciiTheme="majorHAnsi" w:hAnsiTheme="majorHAnsi"/>
          <w:lang w:val="fr-FR"/>
        </w:rPr>
        <w:t>8:00 – 9:00</w:t>
      </w:r>
      <w:r w:rsidRPr="00381B60">
        <w:rPr>
          <w:rFonts w:asciiTheme="majorHAnsi" w:hAnsiTheme="majorHAnsi"/>
          <w:lang w:val="fr-FR"/>
        </w:rPr>
        <w:tab/>
      </w:r>
      <w:r w:rsidRPr="00381B60">
        <w:rPr>
          <w:rFonts w:asciiTheme="majorHAnsi" w:hAnsiTheme="majorHAnsi"/>
          <w:b/>
          <w:lang w:val="fr-FR"/>
        </w:rPr>
        <w:t>Inscriptions</w:t>
      </w:r>
    </w:p>
    <w:p w14:paraId="54DB2373" w14:textId="77777777" w:rsidR="00C266F4" w:rsidRPr="00381B60" w:rsidRDefault="00C266F4" w:rsidP="00D80B35">
      <w:pPr>
        <w:rPr>
          <w:rFonts w:asciiTheme="majorHAnsi" w:hAnsiTheme="majorHAnsi"/>
          <w:b/>
          <w:lang w:val="fr-FR"/>
        </w:rPr>
      </w:pPr>
      <w:r w:rsidRPr="00381B60">
        <w:rPr>
          <w:rFonts w:asciiTheme="majorHAnsi" w:hAnsiTheme="majorHAnsi"/>
          <w:lang w:val="fr-FR"/>
        </w:rPr>
        <w:t>9:00 – 10:30</w:t>
      </w:r>
      <w:r w:rsidRPr="00381B60">
        <w:rPr>
          <w:rFonts w:asciiTheme="majorHAnsi" w:hAnsiTheme="majorHAnsi"/>
          <w:lang w:val="fr-FR"/>
        </w:rPr>
        <w:tab/>
      </w:r>
      <w:r w:rsidR="0015100A" w:rsidRPr="00381B60">
        <w:rPr>
          <w:rFonts w:asciiTheme="majorHAnsi" w:hAnsiTheme="majorHAnsi"/>
          <w:b/>
          <w:color w:val="675E47" w:themeColor="text2"/>
          <w:lang w:val="fr-FR"/>
        </w:rPr>
        <w:t>Accueil et cérémonie d</w:t>
      </w:r>
      <w:r w:rsidR="00381B60" w:rsidRPr="00381B60">
        <w:rPr>
          <w:rFonts w:asciiTheme="majorHAnsi" w:hAnsiTheme="majorHAnsi"/>
          <w:b/>
          <w:color w:val="675E47" w:themeColor="text2"/>
          <w:lang w:val="fr-FR"/>
        </w:rPr>
        <w:t>’</w:t>
      </w:r>
      <w:r w:rsidR="0015100A" w:rsidRPr="00381B60">
        <w:rPr>
          <w:rFonts w:asciiTheme="majorHAnsi" w:hAnsiTheme="majorHAnsi"/>
          <w:b/>
          <w:color w:val="675E47" w:themeColor="text2"/>
          <w:lang w:val="fr-FR"/>
        </w:rPr>
        <w:t>ouverture</w:t>
      </w:r>
    </w:p>
    <w:p w14:paraId="75EBD8AD" w14:textId="77777777" w:rsidR="00767D2E" w:rsidRPr="00381B60" w:rsidRDefault="00767D2E" w:rsidP="00D80B35">
      <w:pPr>
        <w:rPr>
          <w:rFonts w:asciiTheme="majorHAnsi" w:hAnsiTheme="majorHAnsi"/>
          <w:lang w:val="fr-FR"/>
        </w:rPr>
      </w:pPr>
      <w:r w:rsidRPr="00381B60">
        <w:rPr>
          <w:rFonts w:asciiTheme="majorHAnsi" w:hAnsiTheme="majorHAnsi"/>
          <w:b/>
          <w:lang w:val="fr-FR"/>
        </w:rPr>
        <w:tab/>
      </w:r>
      <w:r w:rsidRPr="00381B60">
        <w:rPr>
          <w:rFonts w:asciiTheme="majorHAnsi" w:hAnsiTheme="majorHAnsi"/>
          <w:b/>
          <w:lang w:val="fr-FR"/>
        </w:rPr>
        <w:tab/>
      </w:r>
      <w:r w:rsidRPr="00381B60">
        <w:rPr>
          <w:rFonts w:asciiTheme="majorHAnsi" w:hAnsiTheme="majorHAnsi"/>
          <w:lang w:val="fr-FR"/>
        </w:rPr>
        <w:t>Remerciements et allocution thématique</w:t>
      </w:r>
    </w:p>
    <w:p w14:paraId="73E4663F" w14:textId="77777777" w:rsidR="00C266F4" w:rsidRPr="00381B60" w:rsidRDefault="00C266F4" w:rsidP="00C266F4">
      <w:pPr>
        <w:rPr>
          <w:rFonts w:asciiTheme="majorHAnsi" w:hAnsiTheme="majorHAnsi"/>
          <w:lang w:val="fr-FR"/>
        </w:rPr>
      </w:pPr>
      <w:r w:rsidRPr="00381B60">
        <w:rPr>
          <w:rFonts w:asciiTheme="majorHAnsi" w:hAnsiTheme="majorHAnsi"/>
          <w:lang w:val="fr-FR"/>
        </w:rPr>
        <w:t>10:30 – 11:00</w:t>
      </w:r>
      <w:r w:rsidRPr="00381B60">
        <w:rPr>
          <w:rFonts w:asciiTheme="majorHAnsi" w:hAnsiTheme="majorHAnsi"/>
          <w:lang w:val="fr-FR"/>
        </w:rPr>
        <w:tab/>
      </w:r>
      <w:r w:rsidRPr="00381B60">
        <w:rPr>
          <w:rFonts w:asciiTheme="majorHAnsi" w:hAnsiTheme="majorHAnsi"/>
          <w:b/>
          <w:lang w:val="fr-FR"/>
        </w:rPr>
        <w:t>Pause</w:t>
      </w:r>
    </w:p>
    <w:p w14:paraId="1C337367" w14:textId="77777777" w:rsidR="00C266F4" w:rsidRPr="00381B60" w:rsidRDefault="00C266F4" w:rsidP="00C266F4">
      <w:pPr>
        <w:rPr>
          <w:rFonts w:asciiTheme="majorHAnsi" w:hAnsiTheme="majorHAnsi"/>
          <w:lang w:val="fr-FR"/>
        </w:rPr>
      </w:pPr>
      <w:r w:rsidRPr="00381B60">
        <w:rPr>
          <w:rFonts w:asciiTheme="majorHAnsi" w:hAnsiTheme="majorHAnsi"/>
          <w:lang w:val="fr-FR"/>
        </w:rPr>
        <w:t>11:00 – 12:30</w:t>
      </w:r>
      <w:r w:rsidRPr="00381B60">
        <w:rPr>
          <w:rFonts w:asciiTheme="majorHAnsi" w:hAnsiTheme="majorHAnsi"/>
          <w:lang w:val="fr-FR"/>
        </w:rPr>
        <w:tab/>
      </w:r>
      <w:r w:rsidRPr="00381B60">
        <w:rPr>
          <w:rFonts w:asciiTheme="majorHAnsi" w:hAnsiTheme="majorHAnsi"/>
          <w:b/>
          <w:lang w:val="fr-FR"/>
        </w:rPr>
        <w:t>Séance plénière 1</w:t>
      </w:r>
    </w:p>
    <w:p w14:paraId="7CDEFB46" w14:textId="77777777" w:rsidR="00C266F4" w:rsidRPr="00381B60" w:rsidRDefault="00722967" w:rsidP="00381B60">
      <w:pPr>
        <w:ind w:left="1440" w:firstLine="40"/>
        <w:rPr>
          <w:rFonts w:asciiTheme="majorHAnsi" w:hAnsiTheme="majorHAnsi"/>
          <w:b/>
          <w:i/>
          <w:color w:val="675E47" w:themeColor="text2"/>
          <w:lang w:val="fr-FR"/>
        </w:rPr>
      </w:pPr>
      <w:r w:rsidRPr="00381B60">
        <w:rPr>
          <w:rFonts w:asciiTheme="majorHAnsi" w:hAnsiTheme="majorHAnsi"/>
          <w:b/>
          <w:i/>
          <w:color w:val="675E47" w:themeColor="text2"/>
          <w:lang w:val="fr-FR"/>
        </w:rPr>
        <w:t>Regard sur l</w:t>
      </w:r>
      <w:r w:rsidR="00381B60" w:rsidRPr="00381B60">
        <w:rPr>
          <w:rFonts w:asciiTheme="majorHAnsi" w:hAnsiTheme="majorHAnsi"/>
          <w:b/>
          <w:i/>
          <w:color w:val="675E47" w:themeColor="text2"/>
          <w:lang w:val="fr-FR"/>
        </w:rPr>
        <w:t>’</w:t>
      </w:r>
      <w:r w:rsidRPr="00381B60">
        <w:rPr>
          <w:rFonts w:asciiTheme="majorHAnsi" w:hAnsiTheme="majorHAnsi"/>
          <w:b/>
          <w:i/>
          <w:color w:val="675E47" w:themeColor="text2"/>
          <w:lang w:val="fr-FR"/>
        </w:rPr>
        <w:t>Afrique : la situation de l</w:t>
      </w:r>
      <w:r w:rsidR="00381B60" w:rsidRPr="00381B60">
        <w:rPr>
          <w:rFonts w:asciiTheme="majorHAnsi" w:hAnsiTheme="majorHAnsi"/>
          <w:b/>
          <w:i/>
          <w:color w:val="675E47" w:themeColor="text2"/>
          <w:lang w:val="fr-FR"/>
        </w:rPr>
        <w:t>’</w:t>
      </w:r>
      <w:r w:rsidRPr="00381B60">
        <w:rPr>
          <w:rFonts w:asciiTheme="majorHAnsi" w:hAnsiTheme="majorHAnsi"/>
          <w:b/>
          <w:i/>
          <w:color w:val="675E47" w:themeColor="text2"/>
          <w:lang w:val="fr-FR"/>
        </w:rPr>
        <w:t>enseignement supérieur et de la recherche dans la région</w:t>
      </w:r>
    </w:p>
    <w:p w14:paraId="115AA9DD" w14:textId="77777777" w:rsidR="00E14BEB" w:rsidRPr="00381B60" w:rsidRDefault="00381B60" w:rsidP="00D80B35">
      <w:pPr>
        <w:ind w:left="1440"/>
        <w:rPr>
          <w:rFonts w:asciiTheme="majorHAnsi" w:hAnsiTheme="majorHAnsi"/>
          <w:lang w:val="fr-FR"/>
        </w:rPr>
      </w:pPr>
      <w:r w:rsidRPr="00381B60">
        <w:rPr>
          <w:rFonts w:asciiTheme="majorHAnsi" w:hAnsiTheme="majorHAnsi"/>
          <w:lang w:val="fr-FR"/>
        </w:rPr>
        <w:t>En Afrique, le personnel de l’</w:t>
      </w:r>
      <w:r w:rsidR="00D80B35" w:rsidRPr="00381B60">
        <w:rPr>
          <w:rFonts w:asciiTheme="majorHAnsi" w:hAnsiTheme="majorHAnsi"/>
          <w:lang w:val="fr-FR"/>
        </w:rPr>
        <w:t>enseignement supérieur et de la recherche, de même que leurs institutions, rencontrent d</w:t>
      </w:r>
      <w:r w:rsidRPr="00381B60">
        <w:rPr>
          <w:rFonts w:asciiTheme="majorHAnsi" w:hAnsiTheme="majorHAnsi"/>
          <w:lang w:val="fr-FR"/>
        </w:rPr>
        <w:t>’</w:t>
      </w:r>
      <w:r w:rsidR="00D80B35" w:rsidRPr="00381B60">
        <w:rPr>
          <w:rFonts w:asciiTheme="majorHAnsi" w:hAnsiTheme="majorHAnsi"/>
          <w:lang w:val="fr-FR"/>
        </w:rPr>
        <w:t>énormes difficultés. Le financement public demeure insuffisant, le taux d</w:t>
      </w:r>
      <w:r w:rsidRPr="00381B60">
        <w:rPr>
          <w:rFonts w:asciiTheme="majorHAnsi" w:hAnsiTheme="majorHAnsi"/>
          <w:lang w:val="fr-FR"/>
        </w:rPr>
        <w:t>’</w:t>
      </w:r>
      <w:r w:rsidR="00D80B35" w:rsidRPr="00381B60">
        <w:rPr>
          <w:rFonts w:asciiTheme="majorHAnsi" w:hAnsiTheme="majorHAnsi"/>
          <w:lang w:val="fr-FR"/>
        </w:rPr>
        <w:t>inscriptions des élèves reste faible, les salaires sont trop peu élevés, la fuite des cerveaux entraîne des problèmes considérables, les contrats de travail précaires sont monnaie courante, les libertés académiques sont systématiquement bafouées dans bon nombre de pays et la vague de privatisation des universités et des établissements scolaires nuit à la qualité de l</w:t>
      </w:r>
      <w:r w:rsidRPr="00381B60">
        <w:rPr>
          <w:rFonts w:asciiTheme="majorHAnsi" w:hAnsiTheme="majorHAnsi"/>
          <w:lang w:val="fr-FR"/>
        </w:rPr>
        <w:t>’</w:t>
      </w:r>
      <w:r w:rsidR="00D80B35" w:rsidRPr="00381B60">
        <w:rPr>
          <w:rFonts w:asciiTheme="majorHAnsi" w:hAnsiTheme="majorHAnsi"/>
          <w:lang w:val="fr-FR"/>
        </w:rPr>
        <w:t>enseignement. Que peuvent faire les syndicats pour renverser ces tendances ? Comment les partenariats de solidarité entre les affiliés de l</w:t>
      </w:r>
      <w:r w:rsidRPr="00381B60">
        <w:rPr>
          <w:rFonts w:asciiTheme="majorHAnsi" w:hAnsiTheme="majorHAnsi"/>
          <w:lang w:val="fr-FR"/>
        </w:rPr>
        <w:t>’</w:t>
      </w:r>
      <w:r w:rsidR="00D80B35" w:rsidRPr="00381B60">
        <w:rPr>
          <w:rFonts w:asciiTheme="majorHAnsi" w:hAnsiTheme="majorHAnsi"/>
          <w:lang w:val="fr-FR"/>
        </w:rPr>
        <w:t>IE peuvent-ils contribuer à renforcer les capacités en Afrique ? Comment syndicaliser et mobiliser davantage le personnel de l</w:t>
      </w:r>
      <w:r w:rsidRPr="00381B60">
        <w:rPr>
          <w:rFonts w:asciiTheme="majorHAnsi" w:hAnsiTheme="majorHAnsi"/>
          <w:lang w:val="fr-FR"/>
        </w:rPr>
        <w:t>’</w:t>
      </w:r>
      <w:r w:rsidR="00D80B35" w:rsidRPr="00381B60">
        <w:rPr>
          <w:rFonts w:asciiTheme="majorHAnsi" w:hAnsiTheme="majorHAnsi"/>
          <w:lang w:val="fr-FR"/>
        </w:rPr>
        <w:t xml:space="preserve">enseignement supérieur en Afrique ? </w:t>
      </w:r>
    </w:p>
    <w:p w14:paraId="5E333975" w14:textId="77777777" w:rsidR="00FE23DF" w:rsidRPr="00381B60" w:rsidRDefault="00C266F4" w:rsidP="00C266F4">
      <w:pPr>
        <w:rPr>
          <w:rFonts w:asciiTheme="majorHAnsi" w:hAnsiTheme="majorHAnsi"/>
          <w:lang w:val="fr-FR"/>
        </w:rPr>
      </w:pPr>
      <w:r w:rsidRPr="00381B60">
        <w:rPr>
          <w:rFonts w:asciiTheme="majorHAnsi" w:hAnsiTheme="majorHAnsi"/>
          <w:lang w:val="fr-FR"/>
        </w:rPr>
        <w:lastRenderedPageBreak/>
        <w:t>12:30 – 13:30</w:t>
      </w:r>
      <w:r w:rsidRPr="00381B60">
        <w:rPr>
          <w:rFonts w:asciiTheme="majorHAnsi" w:hAnsiTheme="majorHAnsi"/>
          <w:lang w:val="fr-FR"/>
        </w:rPr>
        <w:tab/>
      </w:r>
      <w:r w:rsidRPr="00381B60">
        <w:rPr>
          <w:rFonts w:asciiTheme="majorHAnsi" w:hAnsiTheme="majorHAnsi"/>
          <w:b/>
          <w:lang w:val="fr-FR"/>
        </w:rPr>
        <w:t>Déjeuner</w:t>
      </w:r>
    </w:p>
    <w:p w14:paraId="6E3023DA" w14:textId="77777777" w:rsidR="00C266F4" w:rsidRPr="00381B60" w:rsidRDefault="00727BEB" w:rsidP="00C266F4">
      <w:pPr>
        <w:rPr>
          <w:rFonts w:asciiTheme="majorHAnsi" w:hAnsiTheme="majorHAnsi"/>
          <w:lang w:val="fr-FR"/>
        </w:rPr>
      </w:pPr>
      <w:r w:rsidRPr="00381B60">
        <w:rPr>
          <w:rFonts w:asciiTheme="majorHAnsi" w:hAnsiTheme="majorHAnsi"/>
          <w:lang w:val="fr-FR"/>
        </w:rPr>
        <w:t>13:30 – 15:00</w:t>
      </w:r>
      <w:r w:rsidR="00C266F4" w:rsidRPr="00381B60">
        <w:rPr>
          <w:rFonts w:asciiTheme="majorHAnsi" w:hAnsiTheme="majorHAnsi"/>
          <w:lang w:val="fr-FR"/>
        </w:rPr>
        <w:tab/>
      </w:r>
      <w:r w:rsidR="00C266F4" w:rsidRPr="00381B60">
        <w:rPr>
          <w:rFonts w:asciiTheme="majorHAnsi" w:hAnsiTheme="majorHAnsi"/>
          <w:b/>
          <w:lang w:val="fr-FR"/>
        </w:rPr>
        <w:t>Séance plénière 2</w:t>
      </w:r>
    </w:p>
    <w:p w14:paraId="47DC670B" w14:textId="77777777" w:rsidR="00122534" w:rsidRPr="00381B60" w:rsidRDefault="00122534" w:rsidP="00C266F4">
      <w:pPr>
        <w:rPr>
          <w:rFonts w:asciiTheme="majorHAnsi" w:hAnsiTheme="majorHAnsi"/>
          <w:b/>
          <w:i/>
          <w:lang w:val="fr-FR"/>
        </w:rPr>
      </w:pPr>
      <w:r w:rsidRPr="00381B60">
        <w:rPr>
          <w:rFonts w:asciiTheme="majorHAnsi" w:hAnsiTheme="majorHAnsi"/>
          <w:lang w:val="fr-FR"/>
        </w:rPr>
        <w:tab/>
      </w:r>
      <w:r w:rsidRPr="00381B60">
        <w:rPr>
          <w:rFonts w:asciiTheme="majorHAnsi" w:hAnsiTheme="majorHAnsi"/>
          <w:lang w:val="fr-FR"/>
        </w:rPr>
        <w:tab/>
      </w:r>
      <w:r w:rsidRPr="00381B60">
        <w:rPr>
          <w:rFonts w:asciiTheme="majorHAnsi" w:hAnsiTheme="majorHAnsi"/>
          <w:b/>
          <w:i/>
          <w:color w:val="675E47" w:themeColor="text2"/>
          <w:lang w:val="fr-FR"/>
        </w:rPr>
        <w:t>Résumé du programme de travail de l</w:t>
      </w:r>
      <w:r w:rsidR="00381B60" w:rsidRPr="00381B60">
        <w:rPr>
          <w:rFonts w:asciiTheme="majorHAnsi" w:hAnsiTheme="majorHAnsi"/>
          <w:b/>
          <w:i/>
          <w:color w:val="675E47" w:themeColor="text2"/>
          <w:lang w:val="fr-FR"/>
        </w:rPr>
        <w:t>’</w:t>
      </w:r>
      <w:r w:rsidRPr="00381B60">
        <w:rPr>
          <w:rFonts w:asciiTheme="majorHAnsi" w:hAnsiTheme="majorHAnsi"/>
          <w:b/>
          <w:i/>
          <w:color w:val="675E47" w:themeColor="text2"/>
          <w:lang w:val="fr-FR"/>
        </w:rPr>
        <w:t>IE depuis 2012</w:t>
      </w:r>
    </w:p>
    <w:p w14:paraId="6D69ECC8" w14:textId="77777777" w:rsidR="00B55472" w:rsidRPr="00381B60" w:rsidRDefault="00B55472" w:rsidP="002C27FC">
      <w:pPr>
        <w:spacing w:after="0"/>
        <w:ind w:left="1440"/>
        <w:rPr>
          <w:rFonts w:asciiTheme="majorHAnsi" w:hAnsiTheme="majorHAnsi"/>
          <w:lang w:val="fr-FR"/>
        </w:rPr>
      </w:pPr>
      <w:r w:rsidRPr="00381B60">
        <w:rPr>
          <w:rFonts w:asciiTheme="majorHAnsi" w:hAnsiTheme="majorHAnsi"/>
          <w:lang w:val="fr-FR"/>
        </w:rPr>
        <w:t>Cette séance sera l</w:t>
      </w:r>
      <w:r w:rsidR="00381B60" w:rsidRPr="00381B60">
        <w:rPr>
          <w:rFonts w:asciiTheme="majorHAnsi" w:hAnsiTheme="majorHAnsi"/>
          <w:lang w:val="fr-FR"/>
        </w:rPr>
        <w:t>’</w:t>
      </w:r>
      <w:r w:rsidRPr="00381B60">
        <w:rPr>
          <w:rFonts w:asciiTheme="majorHAnsi" w:hAnsiTheme="majorHAnsi"/>
          <w:lang w:val="fr-FR"/>
        </w:rPr>
        <w:t>occasion de présenter un aperçu des travaux réalisés par l</w:t>
      </w:r>
      <w:r w:rsidR="00381B60" w:rsidRPr="00381B60">
        <w:rPr>
          <w:rFonts w:asciiTheme="majorHAnsi" w:hAnsiTheme="majorHAnsi"/>
          <w:lang w:val="fr-FR"/>
        </w:rPr>
        <w:t>’</w:t>
      </w:r>
      <w:r w:rsidRPr="00381B60">
        <w:rPr>
          <w:rFonts w:asciiTheme="majorHAnsi" w:hAnsiTheme="majorHAnsi"/>
          <w:lang w:val="fr-FR"/>
        </w:rPr>
        <w:t>IE dans le domaine de l</w:t>
      </w:r>
      <w:r w:rsidR="00381B60" w:rsidRPr="00381B60">
        <w:rPr>
          <w:rFonts w:asciiTheme="majorHAnsi" w:hAnsiTheme="majorHAnsi"/>
          <w:lang w:val="fr-FR"/>
        </w:rPr>
        <w:t>’</w:t>
      </w:r>
      <w:r w:rsidRPr="00381B60">
        <w:rPr>
          <w:rFonts w:asciiTheme="majorHAnsi" w:hAnsiTheme="majorHAnsi"/>
          <w:lang w:val="fr-FR"/>
        </w:rPr>
        <w:t>enseignement supérieur et de la recherche depuis la dernière conférence, notamment les dernières évolutions concernant l</w:t>
      </w:r>
      <w:r w:rsidR="00381B60" w:rsidRPr="00381B60">
        <w:rPr>
          <w:rFonts w:asciiTheme="majorHAnsi" w:hAnsiTheme="majorHAnsi"/>
          <w:lang w:val="fr-FR"/>
        </w:rPr>
        <w:t>’</w:t>
      </w:r>
      <w:r w:rsidRPr="00381B60">
        <w:rPr>
          <w:rFonts w:asciiTheme="majorHAnsi" w:hAnsiTheme="majorHAnsi"/>
          <w:lang w:val="fr-FR"/>
        </w:rPr>
        <w:t>évaluation internationale des résultats de l</w:t>
      </w:r>
      <w:r w:rsidR="00381B60" w:rsidRPr="00381B60">
        <w:rPr>
          <w:rFonts w:asciiTheme="majorHAnsi" w:hAnsiTheme="majorHAnsi"/>
          <w:lang w:val="fr-FR"/>
        </w:rPr>
        <w:t>’</w:t>
      </w:r>
      <w:r w:rsidRPr="00381B60">
        <w:rPr>
          <w:rFonts w:asciiTheme="majorHAnsi" w:hAnsiTheme="majorHAnsi"/>
          <w:lang w:val="fr-FR"/>
        </w:rPr>
        <w:t>enseignement supérieur (AHELO), les négociations commerciales internationales et la place de l</w:t>
      </w:r>
      <w:r w:rsidR="00381B60" w:rsidRPr="00381B60">
        <w:rPr>
          <w:rFonts w:asciiTheme="majorHAnsi" w:hAnsiTheme="majorHAnsi"/>
          <w:lang w:val="fr-FR"/>
        </w:rPr>
        <w:t>’</w:t>
      </w:r>
      <w:r w:rsidRPr="00381B60">
        <w:rPr>
          <w:rFonts w:asciiTheme="majorHAnsi" w:hAnsiTheme="majorHAnsi"/>
          <w:lang w:val="fr-FR"/>
        </w:rPr>
        <w:t>enseignement supérieur dans le programme pour le développement post-2015. Les participant(e)s seront invité(e)s à commenter le programme de travail, à identifier de nouvelles priorités et à proposer des moyens permettant aux affiliés de collaborer efficacement en vue de définir de nouveaux objectifs en prévision du Congrès mondial de l</w:t>
      </w:r>
      <w:r w:rsidR="00381B60" w:rsidRPr="00381B60">
        <w:rPr>
          <w:rFonts w:asciiTheme="majorHAnsi" w:hAnsiTheme="majorHAnsi"/>
          <w:lang w:val="fr-FR"/>
        </w:rPr>
        <w:t>’</w:t>
      </w:r>
      <w:r w:rsidRPr="00381B60">
        <w:rPr>
          <w:rFonts w:asciiTheme="majorHAnsi" w:hAnsiTheme="majorHAnsi"/>
          <w:lang w:val="fr-FR"/>
        </w:rPr>
        <w:t>IE de 2015.</w:t>
      </w:r>
    </w:p>
    <w:p w14:paraId="13ADA20E" w14:textId="77777777" w:rsidR="00D80B35" w:rsidRPr="00381B60" w:rsidRDefault="00D80B35" w:rsidP="00D80B35">
      <w:pPr>
        <w:spacing w:after="0" w:line="240" w:lineRule="auto"/>
        <w:ind w:left="1440"/>
        <w:rPr>
          <w:rFonts w:asciiTheme="majorHAnsi" w:hAnsiTheme="majorHAnsi"/>
          <w:lang w:val="fr-FR"/>
        </w:rPr>
      </w:pPr>
    </w:p>
    <w:p w14:paraId="072EAE0F" w14:textId="77777777" w:rsidR="00C266F4" w:rsidRPr="00381B60" w:rsidRDefault="00E14BEB" w:rsidP="00C266F4">
      <w:pPr>
        <w:rPr>
          <w:rFonts w:asciiTheme="majorHAnsi" w:hAnsiTheme="majorHAnsi"/>
          <w:lang w:val="fr-FR"/>
        </w:rPr>
      </w:pPr>
      <w:r w:rsidRPr="00381B60">
        <w:rPr>
          <w:rFonts w:asciiTheme="majorHAnsi" w:hAnsiTheme="majorHAnsi"/>
          <w:lang w:val="fr-FR"/>
        </w:rPr>
        <w:t>15:00 – 15:30</w:t>
      </w:r>
      <w:r w:rsidRPr="00381B60">
        <w:rPr>
          <w:rFonts w:asciiTheme="majorHAnsi" w:hAnsiTheme="majorHAnsi"/>
          <w:lang w:val="fr-FR"/>
        </w:rPr>
        <w:tab/>
      </w:r>
      <w:r w:rsidRPr="00381B60">
        <w:rPr>
          <w:rFonts w:asciiTheme="majorHAnsi" w:hAnsiTheme="majorHAnsi"/>
          <w:b/>
          <w:lang w:val="fr-FR"/>
        </w:rPr>
        <w:t>Pause</w:t>
      </w:r>
    </w:p>
    <w:p w14:paraId="24D8270E" w14:textId="77777777" w:rsidR="00E14BEB" w:rsidRPr="00381B60" w:rsidRDefault="00E14BEB" w:rsidP="00C266F4">
      <w:pPr>
        <w:rPr>
          <w:rFonts w:asciiTheme="majorHAnsi" w:hAnsiTheme="majorHAnsi"/>
          <w:lang w:val="fr-FR"/>
        </w:rPr>
      </w:pPr>
      <w:r w:rsidRPr="00381B60">
        <w:rPr>
          <w:rFonts w:asciiTheme="majorHAnsi" w:hAnsiTheme="majorHAnsi"/>
          <w:lang w:val="fr-FR"/>
        </w:rPr>
        <w:t>15:30 – 17:00</w:t>
      </w:r>
      <w:r w:rsidRPr="00381B60">
        <w:rPr>
          <w:rFonts w:asciiTheme="majorHAnsi" w:hAnsiTheme="majorHAnsi"/>
          <w:lang w:val="fr-FR"/>
        </w:rPr>
        <w:tab/>
      </w:r>
      <w:r w:rsidRPr="00381B60">
        <w:rPr>
          <w:rFonts w:asciiTheme="majorHAnsi" w:hAnsiTheme="majorHAnsi"/>
          <w:b/>
          <w:lang w:val="fr-FR"/>
        </w:rPr>
        <w:t>Séance plénière 3</w:t>
      </w:r>
    </w:p>
    <w:p w14:paraId="135F0101" w14:textId="77777777" w:rsidR="00B55472" w:rsidRPr="00381B60" w:rsidRDefault="0015100A" w:rsidP="00381B60">
      <w:pPr>
        <w:ind w:left="1440"/>
        <w:rPr>
          <w:rFonts w:asciiTheme="majorHAnsi" w:hAnsiTheme="majorHAnsi"/>
          <w:b/>
          <w:i/>
          <w:lang w:val="fr-FR"/>
        </w:rPr>
      </w:pPr>
      <w:r w:rsidRPr="00381B60">
        <w:rPr>
          <w:rFonts w:asciiTheme="majorHAnsi" w:hAnsiTheme="majorHAnsi"/>
          <w:b/>
          <w:i/>
          <w:color w:val="675E47" w:themeColor="text2"/>
          <w:lang w:val="fr-FR"/>
        </w:rPr>
        <w:t>Ensemble, nous sommes plus forts : augmenter le nombre d</w:t>
      </w:r>
      <w:r w:rsidR="00381B60" w:rsidRPr="00381B60">
        <w:rPr>
          <w:rFonts w:asciiTheme="majorHAnsi" w:hAnsiTheme="majorHAnsi"/>
          <w:b/>
          <w:i/>
          <w:color w:val="675E47" w:themeColor="text2"/>
          <w:lang w:val="fr-FR"/>
        </w:rPr>
        <w:t>’</w:t>
      </w:r>
      <w:r w:rsidRPr="00381B60">
        <w:rPr>
          <w:rFonts w:asciiTheme="majorHAnsi" w:hAnsiTheme="majorHAnsi"/>
          <w:b/>
          <w:i/>
          <w:color w:val="675E47" w:themeColor="text2"/>
          <w:lang w:val="fr-FR"/>
        </w:rPr>
        <w:t>affiliés et mobiliser la communauté</w:t>
      </w:r>
    </w:p>
    <w:p w14:paraId="3EB650B1" w14:textId="2C31896F" w:rsidR="00B55472" w:rsidRPr="00381B60" w:rsidRDefault="00D80B35" w:rsidP="00B55472">
      <w:pPr>
        <w:ind w:left="1440"/>
        <w:rPr>
          <w:rFonts w:asciiTheme="majorHAnsi" w:hAnsiTheme="majorHAnsi"/>
          <w:lang w:val="fr-FR"/>
        </w:rPr>
      </w:pPr>
      <w:r w:rsidRPr="00381B60">
        <w:rPr>
          <w:rFonts w:asciiTheme="majorHAnsi" w:hAnsiTheme="majorHAnsi"/>
          <w:lang w:val="fr-FR"/>
        </w:rPr>
        <w:t>Bon nombre d</w:t>
      </w:r>
      <w:r w:rsidR="00381B60" w:rsidRPr="00381B60">
        <w:rPr>
          <w:rFonts w:asciiTheme="majorHAnsi" w:hAnsiTheme="majorHAnsi"/>
          <w:lang w:val="fr-FR"/>
        </w:rPr>
        <w:t>’</w:t>
      </w:r>
      <w:r w:rsidRPr="00381B60">
        <w:rPr>
          <w:rFonts w:asciiTheme="majorHAnsi" w:hAnsiTheme="majorHAnsi"/>
          <w:lang w:val="fr-FR"/>
        </w:rPr>
        <w:t>affiliés représentant l</w:t>
      </w:r>
      <w:r w:rsidR="00381B60" w:rsidRPr="00381B60">
        <w:rPr>
          <w:rFonts w:asciiTheme="majorHAnsi" w:hAnsiTheme="majorHAnsi"/>
          <w:lang w:val="fr-FR"/>
        </w:rPr>
        <w:t>’</w:t>
      </w:r>
      <w:r w:rsidRPr="00381B60">
        <w:rPr>
          <w:rFonts w:asciiTheme="majorHAnsi" w:hAnsiTheme="majorHAnsi"/>
          <w:lang w:val="fr-FR"/>
        </w:rPr>
        <w:t xml:space="preserve">enseignement supérieur et la recherche ont mené des campagnes couronnées de succès pour accroître leur nombre de membres et se mobiliser aux côtés des </w:t>
      </w:r>
      <w:r w:rsidR="0061572C">
        <w:rPr>
          <w:rFonts w:asciiTheme="majorHAnsi" w:hAnsiTheme="majorHAnsi"/>
          <w:lang w:val="fr-FR"/>
        </w:rPr>
        <w:t>étudiants</w:t>
      </w:r>
      <w:r w:rsidRPr="00381B60">
        <w:rPr>
          <w:rFonts w:asciiTheme="majorHAnsi" w:hAnsiTheme="majorHAnsi"/>
          <w:lang w:val="fr-FR"/>
        </w:rPr>
        <w:t xml:space="preserve"> et de la communauté.  Cette mobilisation s</w:t>
      </w:r>
      <w:r w:rsidR="00381B60" w:rsidRPr="00381B60">
        <w:rPr>
          <w:rFonts w:asciiTheme="majorHAnsi" w:hAnsiTheme="majorHAnsi"/>
          <w:lang w:val="fr-FR"/>
        </w:rPr>
        <w:t>’</w:t>
      </w:r>
      <w:r w:rsidRPr="00381B60">
        <w:rPr>
          <w:rFonts w:asciiTheme="majorHAnsi" w:hAnsiTheme="majorHAnsi"/>
          <w:lang w:val="fr-FR"/>
        </w:rPr>
        <w:t>est traduite par des campagnes ciblant les chercheurs/euses en début de carrière et le personnel sous contrat à durée déterminée, la formation d</w:t>
      </w:r>
      <w:r w:rsidR="00381B60" w:rsidRPr="00381B60">
        <w:rPr>
          <w:rFonts w:asciiTheme="majorHAnsi" w:hAnsiTheme="majorHAnsi"/>
          <w:lang w:val="fr-FR"/>
        </w:rPr>
        <w:t>’</w:t>
      </w:r>
      <w:r w:rsidRPr="00381B60">
        <w:rPr>
          <w:rFonts w:asciiTheme="majorHAnsi" w:hAnsiTheme="majorHAnsi"/>
          <w:lang w:val="fr-FR"/>
        </w:rPr>
        <w:t>alliances et de coalitions avec les communautés de la base et la promotion de l</w:t>
      </w:r>
      <w:r w:rsidR="00381B60" w:rsidRPr="00381B60">
        <w:rPr>
          <w:rFonts w:asciiTheme="majorHAnsi" w:hAnsiTheme="majorHAnsi"/>
          <w:lang w:val="fr-FR"/>
        </w:rPr>
        <w:t>’</w:t>
      </w:r>
      <w:r w:rsidRPr="00381B60">
        <w:rPr>
          <w:rFonts w:asciiTheme="majorHAnsi" w:hAnsiTheme="majorHAnsi"/>
          <w:lang w:val="fr-FR"/>
        </w:rPr>
        <w:t>équité au sein des syndicats. Cette séance sera axée sur des études de cas reflétant ces initiatives et se penchera sur les moyens permettant aux affiliés de mobiliser leurs membres et de renforcer leurs capacités.</w:t>
      </w:r>
    </w:p>
    <w:p w14:paraId="73425B28" w14:textId="77777777" w:rsidR="00675E0D" w:rsidRPr="00381B60" w:rsidRDefault="00675E0D" w:rsidP="00C266F4">
      <w:pPr>
        <w:rPr>
          <w:rFonts w:asciiTheme="majorHAnsi" w:hAnsiTheme="majorHAnsi"/>
          <w:b/>
          <w:color w:val="675E47" w:themeColor="text2"/>
          <w:lang w:val="fr-FR"/>
        </w:rPr>
      </w:pPr>
      <w:r w:rsidRPr="00381B60">
        <w:rPr>
          <w:rFonts w:asciiTheme="majorHAnsi" w:hAnsiTheme="majorHAnsi"/>
          <w:lang w:val="fr-FR"/>
        </w:rPr>
        <w:t>19h00</w:t>
      </w:r>
      <w:r w:rsidRPr="00381B60">
        <w:rPr>
          <w:rFonts w:asciiTheme="majorHAnsi" w:hAnsiTheme="majorHAnsi"/>
          <w:lang w:val="fr-FR"/>
        </w:rPr>
        <w:tab/>
      </w:r>
      <w:r w:rsidRPr="00381B60">
        <w:rPr>
          <w:rFonts w:asciiTheme="majorHAnsi" w:hAnsiTheme="majorHAnsi"/>
          <w:lang w:val="fr-FR"/>
        </w:rPr>
        <w:tab/>
      </w:r>
      <w:r w:rsidRPr="00381B60">
        <w:rPr>
          <w:rFonts w:asciiTheme="majorHAnsi" w:hAnsiTheme="majorHAnsi"/>
          <w:b/>
          <w:color w:val="675E47" w:themeColor="text2"/>
          <w:lang w:val="fr-FR"/>
        </w:rPr>
        <w:t>Réception et dîner</w:t>
      </w:r>
    </w:p>
    <w:p w14:paraId="53B00AF6" w14:textId="77777777" w:rsidR="00FE23DF" w:rsidRPr="00381B60" w:rsidRDefault="00FE23DF" w:rsidP="00C266F4">
      <w:pPr>
        <w:rPr>
          <w:rFonts w:asciiTheme="majorHAnsi" w:hAnsiTheme="majorHAnsi"/>
          <w:b/>
          <w:color w:val="675E47" w:themeColor="text2"/>
          <w:lang w:val="fr-FR"/>
        </w:rPr>
      </w:pPr>
    </w:p>
    <w:p w14:paraId="23A15BE8" w14:textId="77777777" w:rsidR="00C266F4" w:rsidRPr="00381B60" w:rsidRDefault="00C266F4" w:rsidP="00381B60">
      <w:pPr>
        <w:shd w:val="clear" w:color="auto" w:fill="FFFFFF" w:themeFill="background1"/>
        <w:ind w:left="720" w:firstLine="720"/>
        <w:outlineLvl w:val="0"/>
        <w:rPr>
          <w:rFonts w:asciiTheme="majorHAnsi" w:hAnsiTheme="majorHAnsi"/>
          <w:b/>
          <w:color w:val="B1A089" w:themeColor="accent6"/>
          <w:sz w:val="48"/>
          <w:szCs w:val="48"/>
          <w:lang w:val="fr-FR"/>
        </w:rPr>
      </w:pPr>
      <w:r w:rsidRPr="00381B60">
        <w:rPr>
          <w:rFonts w:asciiTheme="majorHAnsi" w:hAnsiTheme="majorHAnsi"/>
          <w:b/>
          <w:color w:val="B1A089" w:themeColor="accent6"/>
          <w:sz w:val="48"/>
          <w:szCs w:val="48"/>
          <w:lang w:val="fr-FR"/>
        </w:rPr>
        <w:t>Mardi 11 novembre</w:t>
      </w:r>
    </w:p>
    <w:p w14:paraId="004F9346" w14:textId="77777777" w:rsidR="00FE23DF" w:rsidRPr="00381B60" w:rsidRDefault="00FE23DF" w:rsidP="00C266F4">
      <w:pPr>
        <w:rPr>
          <w:rFonts w:asciiTheme="majorHAnsi" w:hAnsiTheme="majorHAnsi"/>
          <w:lang w:val="fr-FR"/>
        </w:rPr>
      </w:pPr>
    </w:p>
    <w:p w14:paraId="07D19C8E" w14:textId="77777777" w:rsidR="00722967" w:rsidRPr="00381B60" w:rsidRDefault="00A93FD2" w:rsidP="00C266F4">
      <w:pPr>
        <w:rPr>
          <w:rFonts w:asciiTheme="majorHAnsi" w:hAnsiTheme="majorHAnsi"/>
          <w:lang w:val="fr-FR"/>
        </w:rPr>
      </w:pPr>
      <w:r w:rsidRPr="00381B60">
        <w:rPr>
          <w:rFonts w:asciiTheme="majorHAnsi" w:hAnsiTheme="majorHAnsi"/>
          <w:lang w:val="fr-FR"/>
        </w:rPr>
        <w:t>9:00 – 10:30</w:t>
      </w:r>
      <w:r w:rsidRPr="00381B60">
        <w:rPr>
          <w:rFonts w:asciiTheme="majorHAnsi" w:hAnsiTheme="majorHAnsi"/>
          <w:lang w:val="fr-FR"/>
        </w:rPr>
        <w:tab/>
      </w:r>
      <w:r w:rsidRPr="00381B60">
        <w:rPr>
          <w:rFonts w:asciiTheme="majorHAnsi" w:hAnsiTheme="majorHAnsi"/>
          <w:b/>
          <w:lang w:val="fr-FR"/>
        </w:rPr>
        <w:t>Séance plénière 4</w:t>
      </w:r>
    </w:p>
    <w:p w14:paraId="0F6FA8F1" w14:textId="77777777" w:rsidR="00857FBD" w:rsidRPr="00381B60" w:rsidRDefault="00722967" w:rsidP="00C266F4">
      <w:pPr>
        <w:rPr>
          <w:rFonts w:asciiTheme="majorHAnsi" w:hAnsiTheme="majorHAnsi"/>
          <w:b/>
          <w:lang w:val="fr-FR"/>
        </w:rPr>
      </w:pPr>
      <w:r w:rsidRPr="00381B60">
        <w:rPr>
          <w:rFonts w:asciiTheme="majorHAnsi" w:hAnsiTheme="majorHAnsi"/>
          <w:lang w:val="fr-FR"/>
        </w:rPr>
        <w:tab/>
      </w:r>
      <w:r w:rsidRPr="00381B60">
        <w:rPr>
          <w:rFonts w:asciiTheme="majorHAnsi" w:hAnsiTheme="majorHAnsi"/>
          <w:lang w:val="fr-FR"/>
        </w:rPr>
        <w:tab/>
      </w:r>
      <w:r w:rsidR="00857FBD" w:rsidRPr="00381B60">
        <w:rPr>
          <w:rFonts w:asciiTheme="majorHAnsi" w:hAnsiTheme="majorHAnsi"/>
          <w:b/>
          <w:color w:val="675E47" w:themeColor="text2"/>
          <w:lang w:val="fr-FR"/>
        </w:rPr>
        <w:t>Hyper médiatisation ou espoir ? MOOC et intégrité du travail académique</w:t>
      </w:r>
    </w:p>
    <w:p w14:paraId="49B0CDA1" w14:textId="275998EC" w:rsidR="00647F73" w:rsidRPr="00381B60" w:rsidRDefault="00857FBD" w:rsidP="00647F73">
      <w:pPr>
        <w:ind w:left="1440"/>
        <w:rPr>
          <w:rFonts w:asciiTheme="majorHAnsi" w:hAnsiTheme="majorHAnsi"/>
          <w:lang w:val="fr-FR"/>
        </w:rPr>
      </w:pPr>
      <w:r w:rsidRPr="00381B60">
        <w:rPr>
          <w:rFonts w:asciiTheme="majorHAnsi" w:hAnsiTheme="majorHAnsi"/>
          <w:lang w:val="fr-FR"/>
        </w:rPr>
        <w:t>L</w:t>
      </w:r>
      <w:r w:rsidR="00381B60" w:rsidRPr="00381B60">
        <w:rPr>
          <w:rFonts w:asciiTheme="majorHAnsi" w:hAnsiTheme="majorHAnsi"/>
          <w:lang w:val="fr-FR"/>
        </w:rPr>
        <w:t>’</w:t>
      </w:r>
      <w:r w:rsidRPr="00381B60">
        <w:rPr>
          <w:rFonts w:asciiTheme="majorHAnsi" w:hAnsiTheme="majorHAnsi"/>
          <w:lang w:val="fr-FR"/>
        </w:rPr>
        <w:t>avènement de toute nouvelle technologie de la communication, depuis les premiers programmes radiophoniques jusqu</w:t>
      </w:r>
      <w:r w:rsidR="00381B60" w:rsidRPr="00381B60">
        <w:rPr>
          <w:rFonts w:asciiTheme="majorHAnsi" w:hAnsiTheme="majorHAnsi"/>
          <w:lang w:val="fr-FR"/>
        </w:rPr>
        <w:t>’</w:t>
      </w:r>
      <w:r w:rsidRPr="00381B60">
        <w:rPr>
          <w:rFonts w:asciiTheme="majorHAnsi" w:hAnsiTheme="majorHAnsi"/>
          <w:lang w:val="fr-FR"/>
        </w:rPr>
        <w:t xml:space="preserve">au réseau Internet que nous utilisons </w:t>
      </w:r>
      <w:r w:rsidRPr="00381B60">
        <w:rPr>
          <w:rFonts w:asciiTheme="majorHAnsi" w:hAnsiTheme="majorHAnsi"/>
          <w:lang w:val="fr-FR"/>
        </w:rPr>
        <w:lastRenderedPageBreak/>
        <w:t>aujourd</w:t>
      </w:r>
      <w:r w:rsidR="00381B60" w:rsidRPr="00381B60">
        <w:rPr>
          <w:rFonts w:asciiTheme="majorHAnsi" w:hAnsiTheme="majorHAnsi"/>
          <w:lang w:val="fr-FR"/>
        </w:rPr>
        <w:t>’</w:t>
      </w:r>
      <w:r w:rsidRPr="00381B60">
        <w:rPr>
          <w:rFonts w:asciiTheme="majorHAnsi" w:hAnsiTheme="majorHAnsi"/>
          <w:lang w:val="fr-FR"/>
        </w:rPr>
        <w:t>hui, a systématiquement été accompagné de déclarations selon lesquelles les outils modernes marqueraient la fin des cours traditionnels dispensés dans les classes. Le dernier exemple en date est l</w:t>
      </w:r>
      <w:r w:rsidR="00381B60" w:rsidRPr="00381B60">
        <w:rPr>
          <w:rFonts w:asciiTheme="majorHAnsi" w:hAnsiTheme="majorHAnsi"/>
          <w:lang w:val="fr-FR"/>
        </w:rPr>
        <w:t>’</w:t>
      </w:r>
      <w:r w:rsidRPr="00381B60">
        <w:rPr>
          <w:rFonts w:asciiTheme="majorHAnsi" w:hAnsiTheme="majorHAnsi"/>
          <w:lang w:val="fr-FR"/>
        </w:rPr>
        <w:t>hyper médiatisation des cours en ligne ouverts et massifs (MOOC), au travers de laquelle certains ont affirmé que le développement de ce type d</w:t>
      </w:r>
      <w:r w:rsidR="00381B60" w:rsidRPr="00381B60">
        <w:rPr>
          <w:rFonts w:asciiTheme="majorHAnsi" w:hAnsiTheme="majorHAnsi"/>
          <w:lang w:val="fr-FR"/>
        </w:rPr>
        <w:t>’</w:t>
      </w:r>
      <w:r w:rsidRPr="00381B60">
        <w:rPr>
          <w:rFonts w:asciiTheme="majorHAnsi" w:hAnsiTheme="majorHAnsi"/>
          <w:lang w:val="fr-FR"/>
        </w:rPr>
        <w:t>outil contribuerait à une démocratisation de l</w:t>
      </w:r>
      <w:r w:rsidR="00381B60" w:rsidRPr="00381B60">
        <w:rPr>
          <w:rFonts w:asciiTheme="majorHAnsi" w:hAnsiTheme="majorHAnsi"/>
          <w:lang w:val="fr-FR"/>
        </w:rPr>
        <w:t>’</w:t>
      </w:r>
      <w:r w:rsidRPr="00381B60">
        <w:rPr>
          <w:rFonts w:asciiTheme="majorHAnsi" w:hAnsiTheme="majorHAnsi"/>
          <w:lang w:val="fr-FR"/>
        </w:rPr>
        <w:t>enseignement supérieur et mettrait fin aux institutions d</w:t>
      </w:r>
      <w:r w:rsidR="00381B60" w:rsidRPr="00381B60">
        <w:rPr>
          <w:rFonts w:asciiTheme="majorHAnsi" w:hAnsiTheme="majorHAnsi"/>
          <w:lang w:val="fr-FR"/>
        </w:rPr>
        <w:t>’</w:t>
      </w:r>
      <w:r w:rsidRPr="00381B60">
        <w:rPr>
          <w:rFonts w:asciiTheme="majorHAnsi" w:hAnsiTheme="majorHAnsi"/>
          <w:lang w:val="fr-FR"/>
        </w:rPr>
        <w:t>enseignement traditionnelles.  S</w:t>
      </w:r>
      <w:r w:rsidR="00381B60" w:rsidRPr="00381B60">
        <w:rPr>
          <w:rFonts w:asciiTheme="majorHAnsi" w:hAnsiTheme="majorHAnsi"/>
          <w:lang w:val="fr-FR"/>
        </w:rPr>
        <w:t>’</w:t>
      </w:r>
      <w:r w:rsidRPr="00381B60">
        <w:rPr>
          <w:rFonts w:asciiTheme="majorHAnsi" w:hAnsiTheme="majorHAnsi"/>
          <w:lang w:val="fr-FR"/>
        </w:rPr>
        <w:t>appuyant sur un projet de déclaration préparé par un sous-comité d</w:t>
      </w:r>
      <w:r w:rsidR="00381B60" w:rsidRPr="00381B60">
        <w:rPr>
          <w:rFonts w:asciiTheme="majorHAnsi" w:hAnsiTheme="majorHAnsi"/>
          <w:lang w:val="fr-FR"/>
        </w:rPr>
        <w:t>’</w:t>
      </w:r>
      <w:r w:rsidRPr="00381B60">
        <w:rPr>
          <w:rFonts w:asciiTheme="majorHAnsi" w:hAnsiTheme="majorHAnsi"/>
          <w:lang w:val="fr-FR"/>
        </w:rPr>
        <w:t>affiliés, cette séance examinera les impacts potentiels des MOOC sur le personnel de l</w:t>
      </w:r>
      <w:r w:rsidR="00381B60" w:rsidRPr="00381B60">
        <w:rPr>
          <w:rFonts w:asciiTheme="majorHAnsi" w:hAnsiTheme="majorHAnsi"/>
          <w:lang w:val="fr-FR"/>
        </w:rPr>
        <w:t>’</w:t>
      </w:r>
      <w:r w:rsidRPr="00381B60">
        <w:rPr>
          <w:rFonts w:asciiTheme="majorHAnsi" w:hAnsiTheme="majorHAnsi"/>
          <w:lang w:val="fr-FR"/>
        </w:rPr>
        <w:t xml:space="preserve">enseignement supérieur et de la recherche. </w:t>
      </w:r>
      <w:r w:rsidR="00647F73" w:rsidRPr="00381B60">
        <w:rPr>
          <w:rFonts w:asciiTheme="majorHAnsi" w:hAnsiTheme="majorHAnsi"/>
          <w:lang w:val="fr-FR"/>
        </w:rPr>
        <w:t>Comment les MOOC sont-ils utilisés à travers le monde ? Quelles sont les implications pour les pays en développement ?  Quels sont le</w:t>
      </w:r>
      <w:r w:rsidR="00182571">
        <w:rPr>
          <w:rFonts w:asciiTheme="majorHAnsi" w:hAnsiTheme="majorHAnsi"/>
          <w:lang w:val="fr-FR"/>
        </w:rPr>
        <w:t>s résultats pédagogiques des MOO</w:t>
      </w:r>
      <w:r w:rsidR="00647F73" w:rsidRPr="00381B60">
        <w:rPr>
          <w:rFonts w:asciiTheme="majorHAnsi" w:hAnsiTheme="majorHAnsi"/>
          <w:lang w:val="fr-FR"/>
        </w:rPr>
        <w:t>C ? Quelles sont les conséquences négatives potentielles ? Comment l</w:t>
      </w:r>
      <w:r w:rsidR="00381B60" w:rsidRPr="00381B60">
        <w:rPr>
          <w:rFonts w:asciiTheme="majorHAnsi" w:hAnsiTheme="majorHAnsi"/>
          <w:lang w:val="fr-FR"/>
        </w:rPr>
        <w:t>’</w:t>
      </w:r>
      <w:r w:rsidR="00647F73" w:rsidRPr="00381B60">
        <w:rPr>
          <w:rFonts w:asciiTheme="majorHAnsi" w:hAnsiTheme="majorHAnsi"/>
          <w:lang w:val="fr-FR"/>
        </w:rPr>
        <w:t>IE et ses affiliés peuvent-ils répondre à l</w:t>
      </w:r>
      <w:r w:rsidR="00381B60" w:rsidRPr="00381B60">
        <w:rPr>
          <w:rFonts w:asciiTheme="majorHAnsi" w:hAnsiTheme="majorHAnsi"/>
          <w:lang w:val="fr-FR"/>
        </w:rPr>
        <w:t>’</w:t>
      </w:r>
      <w:r w:rsidR="00647F73" w:rsidRPr="00381B60">
        <w:rPr>
          <w:rFonts w:asciiTheme="majorHAnsi" w:hAnsiTheme="majorHAnsi"/>
          <w:lang w:val="fr-FR"/>
        </w:rPr>
        <w:t>émergence des MOOC ?</w:t>
      </w:r>
    </w:p>
    <w:p w14:paraId="1ECD6AE6" w14:textId="77777777" w:rsidR="00C266F4" w:rsidRPr="00381B60" w:rsidRDefault="00C266F4" w:rsidP="00C266F4">
      <w:pPr>
        <w:rPr>
          <w:rFonts w:asciiTheme="majorHAnsi" w:hAnsiTheme="majorHAnsi"/>
          <w:lang w:val="fr-FR"/>
        </w:rPr>
      </w:pPr>
      <w:r w:rsidRPr="00381B60">
        <w:rPr>
          <w:rFonts w:asciiTheme="majorHAnsi" w:hAnsiTheme="majorHAnsi"/>
          <w:lang w:val="fr-FR"/>
        </w:rPr>
        <w:t>10:30 – 11:00</w:t>
      </w:r>
      <w:r w:rsidRPr="00381B60">
        <w:rPr>
          <w:rFonts w:asciiTheme="majorHAnsi" w:hAnsiTheme="majorHAnsi"/>
          <w:lang w:val="fr-FR"/>
        </w:rPr>
        <w:tab/>
      </w:r>
      <w:r w:rsidRPr="00381B60">
        <w:rPr>
          <w:rFonts w:asciiTheme="majorHAnsi" w:hAnsiTheme="majorHAnsi"/>
          <w:b/>
          <w:lang w:val="fr-FR"/>
        </w:rPr>
        <w:t>Pause</w:t>
      </w:r>
    </w:p>
    <w:p w14:paraId="498ACDC6" w14:textId="77777777" w:rsidR="00C266F4" w:rsidRPr="00381B60" w:rsidRDefault="00C266F4" w:rsidP="00C266F4">
      <w:pPr>
        <w:rPr>
          <w:rFonts w:asciiTheme="majorHAnsi" w:hAnsiTheme="majorHAnsi"/>
          <w:lang w:val="fr-FR"/>
        </w:rPr>
      </w:pPr>
      <w:r w:rsidRPr="00381B60">
        <w:rPr>
          <w:rFonts w:asciiTheme="majorHAnsi" w:hAnsiTheme="majorHAnsi"/>
          <w:lang w:val="fr-FR"/>
        </w:rPr>
        <w:t>11:00 – 12:30</w:t>
      </w:r>
      <w:r w:rsidRPr="00381B60">
        <w:rPr>
          <w:rFonts w:asciiTheme="majorHAnsi" w:hAnsiTheme="majorHAnsi"/>
          <w:lang w:val="fr-FR"/>
        </w:rPr>
        <w:tab/>
      </w:r>
      <w:r w:rsidR="002C27FC" w:rsidRPr="00381B60">
        <w:rPr>
          <w:rFonts w:asciiTheme="majorHAnsi" w:hAnsiTheme="majorHAnsi"/>
          <w:b/>
          <w:color w:val="675E47" w:themeColor="text2"/>
          <w:lang w:val="fr-FR"/>
        </w:rPr>
        <w:t>Groupes de discussion parallèles</w:t>
      </w:r>
    </w:p>
    <w:p w14:paraId="6D05050F" w14:textId="77777777" w:rsidR="007070DD" w:rsidRPr="00381B60" w:rsidRDefault="007070DD" w:rsidP="007070DD">
      <w:pPr>
        <w:ind w:left="1440"/>
        <w:rPr>
          <w:rFonts w:asciiTheme="majorHAnsi" w:hAnsiTheme="majorHAnsi"/>
          <w:color w:val="2F2B20" w:themeColor="text1"/>
          <w:lang w:val="fr-FR"/>
        </w:rPr>
      </w:pPr>
      <w:r w:rsidRPr="00381B60">
        <w:rPr>
          <w:rFonts w:asciiTheme="majorHAnsi" w:hAnsiTheme="majorHAnsi"/>
          <w:color w:val="2F2B20" w:themeColor="text1"/>
          <w:lang w:val="fr-FR"/>
        </w:rPr>
        <w:t>Groupe 1 : Internationalisation et régionalisation de l</w:t>
      </w:r>
      <w:r w:rsidR="00381B60" w:rsidRPr="00381B60">
        <w:rPr>
          <w:rFonts w:asciiTheme="majorHAnsi" w:hAnsiTheme="majorHAnsi"/>
          <w:color w:val="2F2B20" w:themeColor="text1"/>
          <w:lang w:val="fr-FR"/>
        </w:rPr>
        <w:t>’</w:t>
      </w:r>
      <w:r w:rsidRPr="00381B60">
        <w:rPr>
          <w:rFonts w:asciiTheme="majorHAnsi" w:hAnsiTheme="majorHAnsi"/>
          <w:color w:val="2F2B20" w:themeColor="text1"/>
          <w:lang w:val="fr-FR"/>
        </w:rPr>
        <w:t xml:space="preserve">enseignement supérieur et de la recherche - opportunités et contradictions </w:t>
      </w:r>
    </w:p>
    <w:p w14:paraId="74A0125F" w14:textId="77777777" w:rsidR="007070DD" w:rsidRPr="00381B60" w:rsidRDefault="007070DD" w:rsidP="00DF72F6">
      <w:pPr>
        <w:ind w:left="1440"/>
        <w:rPr>
          <w:rFonts w:asciiTheme="majorHAnsi" w:hAnsiTheme="majorHAnsi"/>
          <w:lang w:val="fr-FR"/>
        </w:rPr>
      </w:pPr>
      <w:r w:rsidRPr="00381B60">
        <w:rPr>
          <w:rFonts w:asciiTheme="majorHAnsi" w:hAnsiTheme="majorHAnsi"/>
          <w:lang w:val="fr-FR"/>
        </w:rPr>
        <w:t>Groupe 2 : Equité au sein de l</w:t>
      </w:r>
      <w:r w:rsidR="00381B60" w:rsidRPr="00381B60">
        <w:rPr>
          <w:rFonts w:asciiTheme="majorHAnsi" w:hAnsiTheme="majorHAnsi"/>
          <w:lang w:val="fr-FR"/>
        </w:rPr>
        <w:t>’</w:t>
      </w:r>
      <w:r w:rsidRPr="00381B60">
        <w:rPr>
          <w:rFonts w:asciiTheme="majorHAnsi" w:hAnsiTheme="majorHAnsi"/>
          <w:lang w:val="fr-FR"/>
        </w:rPr>
        <w:t xml:space="preserve">enseignement supérieur et de la recherche - former des syndicats inclusifs </w:t>
      </w:r>
    </w:p>
    <w:p w14:paraId="3BEDC584" w14:textId="77777777" w:rsidR="007070DD" w:rsidRPr="00381B60" w:rsidRDefault="007070DD" w:rsidP="00767D2E">
      <w:pPr>
        <w:ind w:left="1440"/>
        <w:rPr>
          <w:rFonts w:asciiTheme="majorHAnsi" w:hAnsiTheme="majorHAnsi"/>
          <w:lang w:val="fr-FR"/>
        </w:rPr>
      </w:pPr>
      <w:r w:rsidRPr="00381B60">
        <w:rPr>
          <w:rFonts w:asciiTheme="majorHAnsi" w:hAnsiTheme="majorHAnsi"/>
          <w:lang w:val="fr-FR"/>
        </w:rPr>
        <w:t xml:space="preserve">Groupe 3 : MOOC et nouvelles technologies – quels enjeux pour le personnel ? </w:t>
      </w:r>
    </w:p>
    <w:p w14:paraId="2BBF2E4C" w14:textId="77777777" w:rsidR="00C266F4" w:rsidRPr="00381B60" w:rsidRDefault="00C266F4" w:rsidP="00C266F4">
      <w:pPr>
        <w:rPr>
          <w:rFonts w:asciiTheme="majorHAnsi" w:hAnsiTheme="majorHAnsi"/>
          <w:lang w:val="fr-FR"/>
        </w:rPr>
      </w:pPr>
      <w:r w:rsidRPr="00381B60">
        <w:rPr>
          <w:rFonts w:asciiTheme="majorHAnsi" w:hAnsiTheme="majorHAnsi"/>
          <w:lang w:val="fr-FR"/>
        </w:rPr>
        <w:t xml:space="preserve">12:30 – 13:30 </w:t>
      </w:r>
      <w:r w:rsidRPr="00381B60">
        <w:rPr>
          <w:rFonts w:asciiTheme="majorHAnsi" w:hAnsiTheme="majorHAnsi"/>
          <w:lang w:val="fr-FR"/>
        </w:rPr>
        <w:tab/>
      </w:r>
      <w:r w:rsidRPr="00381B60">
        <w:rPr>
          <w:rFonts w:asciiTheme="majorHAnsi" w:hAnsiTheme="majorHAnsi"/>
          <w:b/>
          <w:lang w:val="fr-FR"/>
        </w:rPr>
        <w:t>Déjeuner</w:t>
      </w:r>
    </w:p>
    <w:p w14:paraId="605FEF2D" w14:textId="77777777" w:rsidR="00C266F4" w:rsidRPr="00381B60" w:rsidRDefault="00A93FD2" w:rsidP="00C266F4">
      <w:pPr>
        <w:rPr>
          <w:rFonts w:asciiTheme="majorHAnsi" w:hAnsiTheme="majorHAnsi"/>
          <w:lang w:val="fr-FR"/>
        </w:rPr>
      </w:pPr>
      <w:r w:rsidRPr="00381B60">
        <w:rPr>
          <w:rFonts w:asciiTheme="majorHAnsi" w:hAnsiTheme="majorHAnsi"/>
          <w:lang w:val="fr-FR"/>
        </w:rPr>
        <w:t>13:30 – 15:00</w:t>
      </w:r>
      <w:r w:rsidRPr="00381B60">
        <w:rPr>
          <w:rFonts w:asciiTheme="majorHAnsi" w:hAnsiTheme="majorHAnsi"/>
          <w:lang w:val="fr-FR"/>
        </w:rPr>
        <w:tab/>
      </w:r>
      <w:r w:rsidR="000730ED" w:rsidRPr="00381B60">
        <w:rPr>
          <w:rFonts w:asciiTheme="majorHAnsi" w:hAnsiTheme="majorHAnsi"/>
          <w:b/>
          <w:lang w:val="fr-FR"/>
        </w:rPr>
        <w:t>Séance plénière 5</w:t>
      </w:r>
    </w:p>
    <w:p w14:paraId="5B677BD2" w14:textId="77777777" w:rsidR="00722967" w:rsidRPr="00381B60" w:rsidRDefault="00675E0D" w:rsidP="00381B60">
      <w:pPr>
        <w:ind w:left="1440"/>
        <w:rPr>
          <w:rFonts w:asciiTheme="majorHAnsi" w:hAnsiTheme="majorHAnsi"/>
          <w:b/>
          <w:lang w:val="fr-FR"/>
        </w:rPr>
      </w:pPr>
      <w:r w:rsidRPr="00381B60">
        <w:rPr>
          <w:rFonts w:asciiTheme="majorHAnsi" w:hAnsiTheme="majorHAnsi"/>
          <w:b/>
          <w:color w:val="675E47" w:themeColor="text2"/>
          <w:lang w:val="fr-FR"/>
        </w:rPr>
        <w:t>L</w:t>
      </w:r>
      <w:r w:rsidR="00381B60" w:rsidRPr="00381B60">
        <w:rPr>
          <w:rFonts w:asciiTheme="majorHAnsi" w:hAnsiTheme="majorHAnsi"/>
          <w:b/>
          <w:color w:val="675E47" w:themeColor="text2"/>
          <w:lang w:val="fr-FR"/>
        </w:rPr>
        <w:t>’</w:t>
      </w:r>
      <w:r w:rsidRPr="00381B60">
        <w:rPr>
          <w:rFonts w:asciiTheme="majorHAnsi" w:hAnsiTheme="majorHAnsi"/>
          <w:b/>
          <w:color w:val="675E47" w:themeColor="text2"/>
          <w:lang w:val="fr-FR"/>
        </w:rPr>
        <w:t>avenir de la profession enseignante : nouveaux défis pour les syndicats de l</w:t>
      </w:r>
      <w:r w:rsidR="00381B60" w:rsidRPr="00381B60">
        <w:rPr>
          <w:rFonts w:asciiTheme="majorHAnsi" w:hAnsiTheme="majorHAnsi"/>
          <w:b/>
          <w:color w:val="675E47" w:themeColor="text2"/>
          <w:lang w:val="fr-FR"/>
        </w:rPr>
        <w:t>’</w:t>
      </w:r>
      <w:r w:rsidRPr="00381B60">
        <w:rPr>
          <w:rFonts w:asciiTheme="majorHAnsi" w:hAnsiTheme="majorHAnsi"/>
          <w:b/>
          <w:color w:val="675E47" w:themeColor="text2"/>
          <w:lang w:val="fr-FR"/>
        </w:rPr>
        <w:t>enseignement supérieur</w:t>
      </w:r>
    </w:p>
    <w:p w14:paraId="2C060567" w14:textId="5F001D59" w:rsidR="0015100A" w:rsidRPr="00381B60" w:rsidRDefault="00281D29" w:rsidP="00281D29">
      <w:pPr>
        <w:ind w:left="1440"/>
        <w:rPr>
          <w:rFonts w:asciiTheme="majorHAnsi" w:hAnsiTheme="majorHAnsi"/>
          <w:lang w:val="fr-FR"/>
        </w:rPr>
      </w:pPr>
      <w:r w:rsidRPr="00381B60">
        <w:rPr>
          <w:rFonts w:asciiTheme="majorHAnsi" w:hAnsiTheme="majorHAnsi"/>
          <w:lang w:val="fr-FR"/>
        </w:rPr>
        <w:t>Le statut et la qualité de l</w:t>
      </w:r>
      <w:r w:rsidR="00381B60" w:rsidRPr="00381B60">
        <w:rPr>
          <w:rFonts w:asciiTheme="majorHAnsi" w:hAnsiTheme="majorHAnsi"/>
          <w:lang w:val="fr-FR"/>
        </w:rPr>
        <w:t>’</w:t>
      </w:r>
      <w:r w:rsidRPr="00381B60">
        <w:rPr>
          <w:rFonts w:asciiTheme="majorHAnsi" w:hAnsiTheme="majorHAnsi"/>
          <w:lang w:val="fr-FR"/>
        </w:rPr>
        <w:t>enseignement supérieur subissent de fortes pressions dans un grand nombre de pays. Le nombre d</w:t>
      </w:r>
      <w:r w:rsidR="00381B60" w:rsidRPr="00381B60">
        <w:rPr>
          <w:rFonts w:asciiTheme="majorHAnsi" w:hAnsiTheme="majorHAnsi"/>
          <w:lang w:val="fr-FR"/>
        </w:rPr>
        <w:t>’</w:t>
      </w:r>
      <w:r w:rsidRPr="00381B60">
        <w:rPr>
          <w:rFonts w:asciiTheme="majorHAnsi" w:hAnsiTheme="majorHAnsi"/>
          <w:lang w:val="fr-FR"/>
        </w:rPr>
        <w:t>élèves par enseignant(e) ne cesse de croître et les cours dispensés dans les institutions d</w:t>
      </w:r>
      <w:r w:rsidR="00381B60" w:rsidRPr="00381B60">
        <w:rPr>
          <w:rFonts w:asciiTheme="majorHAnsi" w:hAnsiTheme="majorHAnsi"/>
          <w:lang w:val="fr-FR"/>
        </w:rPr>
        <w:t>’</w:t>
      </w:r>
      <w:r w:rsidRPr="00381B60">
        <w:rPr>
          <w:rFonts w:asciiTheme="majorHAnsi" w:hAnsiTheme="majorHAnsi"/>
          <w:lang w:val="fr-FR"/>
        </w:rPr>
        <w:t>enseignement supérieur et les universités sont de plus en plus souvent pris en charge par du personnel engagé sous contrat à durée déterminée ou temporaire. On observe également de nouvelles demandes en matière de formation spécialisée pour le personnel universitaire et d</w:t>
      </w:r>
      <w:r w:rsidR="00381B60" w:rsidRPr="00381B60">
        <w:rPr>
          <w:rFonts w:asciiTheme="majorHAnsi" w:hAnsiTheme="majorHAnsi"/>
          <w:lang w:val="fr-FR"/>
        </w:rPr>
        <w:t>’</w:t>
      </w:r>
      <w:r w:rsidRPr="00381B60">
        <w:rPr>
          <w:rFonts w:asciiTheme="majorHAnsi" w:hAnsiTheme="majorHAnsi"/>
          <w:lang w:val="fr-FR"/>
        </w:rPr>
        <w:t>outils de mesure quantitative pou</w:t>
      </w:r>
      <w:r w:rsidR="009979F5">
        <w:rPr>
          <w:rFonts w:asciiTheme="majorHAnsi" w:hAnsiTheme="majorHAnsi"/>
          <w:lang w:val="fr-FR"/>
        </w:rPr>
        <w:tab/>
        <w:t>A</w:t>
      </w:r>
      <w:r w:rsidRPr="00381B60">
        <w:rPr>
          <w:rFonts w:asciiTheme="majorHAnsi" w:hAnsiTheme="majorHAnsi"/>
          <w:lang w:val="fr-FR"/>
        </w:rPr>
        <w:t xml:space="preserve">r </w:t>
      </w:r>
      <w:proofErr w:type="gramStart"/>
      <w:r w:rsidRPr="00381B60">
        <w:rPr>
          <w:rFonts w:asciiTheme="majorHAnsi" w:hAnsiTheme="majorHAnsi"/>
          <w:lang w:val="fr-FR"/>
        </w:rPr>
        <w:t>évaluer</w:t>
      </w:r>
      <w:proofErr w:type="gramEnd"/>
      <w:r w:rsidRPr="00381B60">
        <w:rPr>
          <w:rFonts w:asciiTheme="majorHAnsi" w:hAnsiTheme="majorHAnsi"/>
          <w:lang w:val="fr-FR"/>
        </w:rPr>
        <w:t xml:space="preserve"> les résultats d</w:t>
      </w:r>
      <w:r w:rsidR="00381B60" w:rsidRPr="00381B60">
        <w:rPr>
          <w:rFonts w:asciiTheme="majorHAnsi" w:hAnsiTheme="majorHAnsi"/>
          <w:lang w:val="fr-FR"/>
        </w:rPr>
        <w:t>’</w:t>
      </w:r>
      <w:r w:rsidRPr="00381B60">
        <w:rPr>
          <w:rFonts w:asciiTheme="majorHAnsi" w:hAnsiTheme="majorHAnsi"/>
          <w:lang w:val="fr-FR"/>
        </w:rPr>
        <w:t>apprentissage des élèves, censés déterminer le degré d</w:t>
      </w:r>
      <w:r w:rsidR="00381B60" w:rsidRPr="00381B60">
        <w:rPr>
          <w:rFonts w:asciiTheme="majorHAnsi" w:hAnsiTheme="majorHAnsi"/>
          <w:lang w:val="fr-FR"/>
        </w:rPr>
        <w:t>’</w:t>
      </w:r>
      <w:r w:rsidRPr="00381B60">
        <w:rPr>
          <w:rFonts w:asciiTheme="majorHAnsi" w:hAnsiTheme="majorHAnsi"/>
          <w:lang w:val="fr-FR"/>
        </w:rPr>
        <w:t>efficacité de l</w:t>
      </w:r>
      <w:r w:rsidR="00381B60" w:rsidRPr="00381B60">
        <w:rPr>
          <w:rFonts w:asciiTheme="majorHAnsi" w:hAnsiTheme="majorHAnsi"/>
          <w:lang w:val="fr-FR"/>
        </w:rPr>
        <w:t>’</w:t>
      </w:r>
      <w:r w:rsidRPr="00381B60">
        <w:rPr>
          <w:rFonts w:asciiTheme="majorHAnsi" w:hAnsiTheme="majorHAnsi"/>
          <w:lang w:val="fr-FR"/>
        </w:rPr>
        <w:t>enseignement. A cela s</w:t>
      </w:r>
      <w:r w:rsidR="00381B60" w:rsidRPr="00381B60">
        <w:rPr>
          <w:rFonts w:asciiTheme="majorHAnsi" w:hAnsiTheme="majorHAnsi"/>
          <w:lang w:val="fr-FR"/>
        </w:rPr>
        <w:t>’</w:t>
      </w:r>
      <w:r w:rsidRPr="00381B60">
        <w:rPr>
          <w:rFonts w:asciiTheme="majorHAnsi" w:hAnsiTheme="majorHAnsi"/>
          <w:lang w:val="fr-FR"/>
        </w:rPr>
        <w:t>ajoutent les pressions exercées par les employeurs et les gouvernements pour dissocier complètement l</w:t>
      </w:r>
      <w:r w:rsidR="00381B60" w:rsidRPr="00381B60">
        <w:rPr>
          <w:rFonts w:asciiTheme="majorHAnsi" w:hAnsiTheme="majorHAnsi"/>
          <w:lang w:val="fr-FR"/>
        </w:rPr>
        <w:t>’</w:t>
      </w:r>
      <w:r w:rsidRPr="00381B60">
        <w:rPr>
          <w:rFonts w:asciiTheme="majorHAnsi" w:hAnsiTheme="majorHAnsi"/>
          <w:lang w:val="fr-FR"/>
        </w:rPr>
        <w:t>enseignement et la recherche.  Quelles sont les implications de ces nouveaux paramètres et quelles sont les réponses apportées par les affiliés pour lutter contre ces pressions ? Existe-t-il un lien entre les conditions d</w:t>
      </w:r>
      <w:r w:rsidR="00381B60" w:rsidRPr="00381B60">
        <w:rPr>
          <w:rFonts w:asciiTheme="majorHAnsi" w:hAnsiTheme="majorHAnsi"/>
          <w:lang w:val="fr-FR"/>
        </w:rPr>
        <w:t>’</w:t>
      </w:r>
      <w:r w:rsidRPr="00381B60">
        <w:rPr>
          <w:rFonts w:asciiTheme="majorHAnsi" w:hAnsiTheme="majorHAnsi"/>
          <w:lang w:val="fr-FR"/>
        </w:rPr>
        <w:t>emploi du personnel et la qualité de l</w:t>
      </w:r>
      <w:r w:rsidR="00381B60" w:rsidRPr="00381B60">
        <w:rPr>
          <w:rFonts w:asciiTheme="majorHAnsi" w:hAnsiTheme="majorHAnsi"/>
          <w:lang w:val="fr-FR"/>
        </w:rPr>
        <w:t>’</w:t>
      </w:r>
      <w:r w:rsidRPr="00381B60">
        <w:rPr>
          <w:rFonts w:asciiTheme="majorHAnsi" w:hAnsiTheme="majorHAnsi"/>
          <w:lang w:val="fr-FR"/>
        </w:rPr>
        <w:t xml:space="preserve">enseignement ? Quels sont les progrès accomplis en </w:t>
      </w:r>
      <w:r w:rsidRPr="00381B60">
        <w:rPr>
          <w:rFonts w:asciiTheme="majorHAnsi" w:hAnsiTheme="majorHAnsi"/>
          <w:lang w:val="fr-FR"/>
        </w:rPr>
        <w:lastRenderedPageBreak/>
        <w:t>matière de négociation collective ? Quelles sont les campagnes de plaidoyer qui ont été menées et quel a été leur succès ?</w:t>
      </w:r>
    </w:p>
    <w:p w14:paraId="7E09F949" w14:textId="77777777" w:rsidR="00C266F4" w:rsidRPr="00381B60" w:rsidRDefault="00C266F4" w:rsidP="00C266F4">
      <w:pPr>
        <w:rPr>
          <w:rFonts w:asciiTheme="majorHAnsi" w:hAnsiTheme="majorHAnsi"/>
          <w:lang w:val="fr-FR"/>
        </w:rPr>
      </w:pPr>
      <w:r w:rsidRPr="00381B60">
        <w:rPr>
          <w:rFonts w:asciiTheme="majorHAnsi" w:hAnsiTheme="majorHAnsi"/>
          <w:lang w:val="fr-FR"/>
        </w:rPr>
        <w:t>15:00 – 15:30</w:t>
      </w:r>
      <w:r w:rsidRPr="00381B60">
        <w:rPr>
          <w:rFonts w:asciiTheme="majorHAnsi" w:hAnsiTheme="majorHAnsi"/>
          <w:lang w:val="fr-FR"/>
        </w:rPr>
        <w:tab/>
      </w:r>
      <w:r w:rsidRPr="00381B60">
        <w:rPr>
          <w:rFonts w:asciiTheme="majorHAnsi" w:hAnsiTheme="majorHAnsi"/>
          <w:b/>
          <w:lang w:val="fr-FR"/>
        </w:rPr>
        <w:t>Pause</w:t>
      </w:r>
    </w:p>
    <w:p w14:paraId="5FAD608D" w14:textId="77777777" w:rsidR="00C266F4" w:rsidRPr="00381B60" w:rsidRDefault="00C266F4" w:rsidP="00C266F4">
      <w:pPr>
        <w:rPr>
          <w:rFonts w:asciiTheme="majorHAnsi" w:hAnsiTheme="majorHAnsi"/>
          <w:lang w:val="fr-FR"/>
        </w:rPr>
      </w:pPr>
      <w:r w:rsidRPr="00381B60">
        <w:rPr>
          <w:rFonts w:asciiTheme="majorHAnsi" w:hAnsiTheme="majorHAnsi"/>
          <w:lang w:val="fr-FR"/>
        </w:rPr>
        <w:t>15:30 – 17:00</w:t>
      </w:r>
      <w:r w:rsidRPr="00381B60">
        <w:rPr>
          <w:rFonts w:asciiTheme="majorHAnsi" w:hAnsiTheme="majorHAnsi"/>
          <w:lang w:val="fr-FR"/>
        </w:rPr>
        <w:tab/>
        <w:t>Groupes de discussion parallèles</w:t>
      </w:r>
    </w:p>
    <w:p w14:paraId="195DE4F4" w14:textId="77777777" w:rsidR="002C27FC" w:rsidRPr="00381B60" w:rsidRDefault="002C27FC" w:rsidP="00675E0D">
      <w:pPr>
        <w:ind w:left="1440"/>
        <w:rPr>
          <w:rFonts w:asciiTheme="majorHAnsi" w:hAnsiTheme="majorHAnsi"/>
          <w:lang w:val="fr-FR"/>
        </w:rPr>
      </w:pPr>
      <w:r w:rsidRPr="00381B60">
        <w:rPr>
          <w:rFonts w:asciiTheme="majorHAnsi" w:hAnsiTheme="majorHAnsi"/>
          <w:lang w:val="fr-FR"/>
        </w:rPr>
        <w:t>Groupe 1 : Améliorer la qualité de l</w:t>
      </w:r>
      <w:r w:rsidR="00381B60" w:rsidRPr="00381B60">
        <w:rPr>
          <w:rFonts w:asciiTheme="majorHAnsi" w:hAnsiTheme="majorHAnsi"/>
          <w:lang w:val="fr-FR"/>
        </w:rPr>
        <w:t>’</w:t>
      </w:r>
      <w:r w:rsidRPr="00381B60">
        <w:rPr>
          <w:rFonts w:asciiTheme="majorHAnsi" w:hAnsiTheme="majorHAnsi"/>
          <w:lang w:val="fr-FR"/>
        </w:rPr>
        <w:t>enseignement supérieur - créer des environnements pédagogiques collaboratifs</w:t>
      </w:r>
    </w:p>
    <w:p w14:paraId="4225356A" w14:textId="77777777" w:rsidR="00675E0D" w:rsidRPr="00381B60" w:rsidRDefault="00675E0D" w:rsidP="00675E0D">
      <w:pPr>
        <w:ind w:left="1440"/>
        <w:rPr>
          <w:rFonts w:asciiTheme="majorHAnsi" w:hAnsiTheme="majorHAnsi"/>
          <w:lang w:val="fr-FR"/>
        </w:rPr>
      </w:pPr>
      <w:r w:rsidRPr="00381B60">
        <w:rPr>
          <w:rFonts w:asciiTheme="majorHAnsi" w:hAnsiTheme="majorHAnsi"/>
          <w:lang w:val="fr-FR"/>
        </w:rPr>
        <w:t>Groupe 2 : Coopération au développement - promouvoir la solidarité entre les affiliés représentant l</w:t>
      </w:r>
      <w:r w:rsidR="00381B60" w:rsidRPr="00381B60">
        <w:rPr>
          <w:rFonts w:asciiTheme="majorHAnsi" w:hAnsiTheme="majorHAnsi"/>
          <w:lang w:val="fr-FR"/>
        </w:rPr>
        <w:t>’</w:t>
      </w:r>
      <w:r w:rsidRPr="00381B60">
        <w:rPr>
          <w:rFonts w:asciiTheme="majorHAnsi" w:hAnsiTheme="majorHAnsi"/>
          <w:lang w:val="fr-FR"/>
        </w:rPr>
        <w:t>enseignement supérieur et la recherche</w:t>
      </w:r>
    </w:p>
    <w:p w14:paraId="287EF601" w14:textId="77777777" w:rsidR="00675E0D" w:rsidRPr="00381B60" w:rsidRDefault="00675E0D" w:rsidP="00675E0D">
      <w:pPr>
        <w:ind w:left="1440"/>
        <w:rPr>
          <w:rFonts w:asciiTheme="majorHAnsi" w:hAnsiTheme="majorHAnsi"/>
          <w:lang w:val="fr-FR"/>
        </w:rPr>
      </w:pPr>
      <w:r w:rsidRPr="00381B60">
        <w:rPr>
          <w:rFonts w:asciiTheme="majorHAnsi" w:hAnsiTheme="majorHAnsi"/>
          <w:lang w:val="fr-FR"/>
        </w:rPr>
        <w:t>Groupe 3 : Evaluation des résultats d</w:t>
      </w:r>
      <w:r w:rsidR="00381B60" w:rsidRPr="00381B60">
        <w:rPr>
          <w:rFonts w:asciiTheme="majorHAnsi" w:hAnsiTheme="majorHAnsi"/>
          <w:lang w:val="fr-FR"/>
        </w:rPr>
        <w:t>’</w:t>
      </w:r>
      <w:r w:rsidRPr="00381B60">
        <w:rPr>
          <w:rFonts w:asciiTheme="majorHAnsi" w:hAnsiTheme="majorHAnsi"/>
          <w:lang w:val="fr-FR"/>
        </w:rPr>
        <w:t xml:space="preserve">apprentissage des élèves - se résigner, réformer ou résister ? </w:t>
      </w:r>
    </w:p>
    <w:p w14:paraId="29B05DAE" w14:textId="77777777" w:rsidR="00D80F38" w:rsidRPr="00381B60" w:rsidRDefault="00D80F38" w:rsidP="00D80F38">
      <w:pPr>
        <w:rPr>
          <w:rFonts w:asciiTheme="majorHAnsi" w:hAnsiTheme="majorHAnsi"/>
          <w:b/>
          <w:color w:val="B1A089" w:themeColor="accent6"/>
          <w:sz w:val="48"/>
          <w:szCs w:val="48"/>
          <w:lang w:val="fr-FR"/>
        </w:rPr>
      </w:pPr>
    </w:p>
    <w:p w14:paraId="6E06A377" w14:textId="77777777" w:rsidR="00C266F4" w:rsidRPr="00381B60" w:rsidRDefault="00C266F4" w:rsidP="00381B60">
      <w:pPr>
        <w:ind w:left="720" w:firstLine="720"/>
        <w:outlineLvl w:val="0"/>
        <w:rPr>
          <w:rFonts w:asciiTheme="majorHAnsi" w:hAnsiTheme="majorHAnsi"/>
          <w:b/>
          <w:color w:val="B1A089" w:themeColor="accent6"/>
          <w:sz w:val="48"/>
          <w:szCs w:val="48"/>
          <w:lang w:val="fr-FR"/>
        </w:rPr>
      </w:pPr>
      <w:r w:rsidRPr="00381B60">
        <w:rPr>
          <w:rFonts w:asciiTheme="majorHAnsi" w:hAnsiTheme="majorHAnsi"/>
          <w:b/>
          <w:color w:val="B1A089" w:themeColor="accent6"/>
          <w:sz w:val="48"/>
          <w:szCs w:val="48"/>
          <w:lang w:val="fr-FR"/>
        </w:rPr>
        <w:t>Mercredi 12 novembre</w:t>
      </w:r>
    </w:p>
    <w:p w14:paraId="0FBA0278" w14:textId="77777777" w:rsidR="00FE23DF" w:rsidRPr="00381B60" w:rsidRDefault="00FE23DF" w:rsidP="00C266F4">
      <w:pPr>
        <w:rPr>
          <w:rFonts w:asciiTheme="majorHAnsi" w:hAnsiTheme="majorHAnsi"/>
          <w:lang w:val="fr-FR"/>
        </w:rPr>
      </w:pPr>
    </w:p>
    <w:p w14:paraId="6DFD8158" w14:textId="77777777" w:rsidR="000730ED" w:rsidRPr="00381B60" w:rsidRDefault="00A93FD2" w:rsidP="00C266F4">
      <w:pPr>
        <w:rPr>
          <w:rFonts w:asciiTheme="majorHAnsi" w:hAnsiTheme="majorHAnsi"/>
          <w:lang w:val="fr-FR"/>
        </w:rPr>
      </w:pPr>
      <w:r w:rsidRPr="00381B60">
        <w:rPr>
          <w:rFonts w:asciiTheme="majorHAnsi" w:hAnsiTheme="majorHAnsi"/>
          <w:lang w:val="fr-FR"/>
        </w:rPr>
        <w:t>9:00 – 10:30</w:t>
      </w:r>
      <w:r w:rsidRPr="00381B60">
        <w:rPr>
          <w:rFonts w:asciiTheme="majorHAnsi" w:hAnsiTheme="majorHAnsi"/>
          <w:lang w:val="fr-FR"/>
        </w:rPr>
        <w:tab/>
      </w:r>
      <w:r w:rsidR="000730ED" w:rsidRPr="00381B60">
        <w:rPr>
          <w:rFonts w:asciiTheme="majorHAnsi" w:hAnsiTheme="majorHAnsi"/>
          <w:b/>
          <w:lang w:val="fr-FR"/>
        </w:rPr>
        <w:t>Séance plénière 6</w:t>
      </w:r>
    </w:p>
    <w:p w14:paraId="3157FF50" w14:textId="77777777" w:rsidR="00C266F4" w:rsidRPr="00381B60" w:rsidRDefault="00727BEB" w:rsidP="00381B60">
      <w:pPr>
        <w:ind w:left="1440"/>
        <w:rPr>
          <w:rFonts w:asciiTheme="majorHAnsi" w:hAnsiTheme="majorHAnsi"/>
          <w:b/>
          <w:lang w:val="fr-FR"/>
        </w:rPr>
      </w:pPr>
      <w:r w:rsidRPr="00381B60">
        <w:rPr>
          <w:rFonts w:asciiTheme="majorHAnsi" w:hAnsiTheme="majorHAnsi"/>
          <w:b/>
          <w:color w:val="675E47" w:themeColor="text2"/>
          <w:lang w:val="fr-FR"/>
        </w:rPr>
        <w:t xml:space="preserve">Lutter contre la privatisation : pourquoi </w:t>
      </w:r>
      <w:r w:rsidR="002C27FC" w:rsidRPr="009979F5">
        <w:rPr>
          <w:rFonts w:asciiTheme="majorHAnsi" w:hAnsiTheme="majorHAnsi"/>
          <w:b/>
          <w:color w:val="675E47" w:themeColor="text2"/>
          <w:lang w:val="fr-FR"/>
        </w:rPr>
        <w:t>l</w:t>
      </w:r>
      <w:r w:rsidR="00381B60" w:rsidRPr="009979F5">
        <w:rPr>
          <w:rFonts w:asciiTheme="majorHAnsi" w:hAnsiTheme="majorHAnsi"/>
          <w:b/>
          <w:color w:val="675E47" w:themeColor="text2"/>
          <w:lang w:val="fr-FR"/>
        </w:rPr>
        <w:t>’</w:t>
      </w:r>
      <w:r w:rsidR="002C27FC" w:rsidRPr="009979F5">
        <w:rPr>
          <w:rFonts w:asciiTheme="majorHAnsi" w:hAnsiTheme="majorHAnsi"/>
          <w:b/>
          <w:color w:val="675E47" w:themeColor="text2"/>
          <w:lang w:val="fr-FR"/>
        </w:rPr>
        <w:t>enseignement supérieur public</w:t>
      </w:r>
      <w:r w:rsidR="002C27FC" w:rsidRPr="00381B60">
        <w:rPr>
          <w:rFonts w:asciiTheme="majorHAnsi" w:hAnsiTheme="majorHAnsi"/>
          <w:b/>
          <w:color w:val="675E47" w:themeColor="text2"/>
          <w:lang w:val="fr-FR"/>
        </w:rPr>
        <w:t xml:space="preserve"> et la recherche sont importants</w:t>
      </w:r>
    </w:p>
    <w:p w14:paraId="17EA5ABC" w14:textId="770E4080" w:rsidR="00675E0D" w:rsidRPr="00381B60" w:rsidRDefault="00DF72F6" w:rsidP="009979F5">
      <w:pPr>
        <w:ind w:left="1440"/>
        <w:rPr>
          <w:rFonts w:asciiTheme="majorHAnsi" w:hAnsiTheme="majorHAnsi"/>
          <w:lang w:val="fr-FR"/>
        </w:rPr>
      </w:pPr>
      <w:r w:rsidRPr="00381B60">
        <w:rPr>
          <w:rFonts w:asciiTheme="majorHAnsi" w:hAnsiTheme="majorHAnsi"/>
          <w:lang w:val="fr-FR"/>
        </w:rPr>
        <w:t>La prolifération des institutions d</w:t>
      </w:r>
      <w:r w:rsidR="00381B60" w:rsidRPr="00381B60">
        <w:rPr>
          <w:rFonts w:asciiTheme="majorHAnsi" w:hAnsiTheme="majorHAnsi"/>
          <w:lang w:val="fr-FR"/>
        </w:rPr>
        <w:t>’</w:t>
      </w:r>
      <w:r w:rsidRPr="00381B60">
        <w:rPr>
          <w:rFonts w:asciiTheme="majorHAnsi" w:hAnsiTheme="majorHAnsi"/>
          <w:lang w:val="fr-FR"/>
        </w:rPr>
        <w:t>enseignement supérieur privées, le nombre croissant d</w:t>
      </w:r>
      <w:r w:rsidR="00381B60" w:rsidRPr="00381B60">
        <w:rPr>
          <w:rFonts w:asciiTheme="majorHAnsi" w:hAnsiTheme="majorHAnsi"/>
          <w:lang w:val="fr-FR"/>
        </w:rPr>
        <w:t>’</w:t>
      </w:r>
      <w:r w:rsidR="009979F5">
        <w:rPr>
          <w:rFonts w:asciiTheme="majorHAnsi" w:hAnsiTheme="majorHAnsi"/>
          <w:lang w:val="fr-FR"/>
        </w:rPr>
        <w:t xml:space="preserve">universités et d’établissements </w:t>
      </w:r>
      <w:bookmarkStart w:id="0" w:name="_GoBack"/>
      <w:bookmarkEnd w:id="0"/>
      <w:r w:rsidRPr="00381B60">
        <w:rPr>
          <w:rFonts w:asciiTheme="majorHAnsi" w:hAnsiTheme="majorHAnsi"/>
          <w:lang w:val="fr-FR"/>
        </w:rPr>
        <w:t>s</w:t>
      </w:r>
      <w:r w:rsidR="00381B60" w:rsidRPr="00381B60">
        <w:rPr>
          <w:rFonts w:asciiTheme="majorHAnsi" w:hAnsiTheme="majorHAnsi"/>
          <w:lang w:val="fr-FR"/>
        </w:rPr>
        <w:t>’</w:t>
      </w:r>
      <w:r w:rsidRPr="00381B60">
        <w:rPr>
          <w:rFonts w:asciiTheme="majorHAnsi" w:hAnsiTheme="majorHAnsi"/>
          <w:lang w:val="fr-FR"/>
        </w:rPr>
        <w:t>appuyant sur des fonds privés pour assurer leur financement, l</w:t>
      </w:r>
      <w:r w:rsidR="00381B60" w:rsidRPr="00381B60">
        <w:rPr>
          <w:rFonts w:asciiTheme="majorHAnsi" w:hAnsiTheme="majorHAnsi"/>
          <w:lang w:val="fr-FR"/>
        </w:rPr>
        <w:t>’</w:t>
      </w:r>
      <w:r w:rsidRPr="00381B60">
        <w:rPr>
          <w:rFonts w:asciiTheme="majorHAnsi" w:hAnsiTheme="majorHAnsi"/>
          <w:lang w:val="fr-FR"/>
        </w:rPr>
        <w:t>influence des donateurs privés et l</w:t>
      </w:r>
      <w:r w:rsidR="00381B60" w:rsidRPr="00381B60">
        <w:rPr>
          <w:rFonts w:asciiTheme="majorHAnsi" w:hAnsiTheme="majorHAnsi"/>
          <w:lang w:val="fr-FR"/>
        </w:rPr>
        <w:t>’</w:t>
      </w:r>
      <w:r w:rsidRPr="00381B60">
        <w:rPr>
          <w:rFonts w:asciiTheme="majorHAnsi" w:hAnsiTheme="majorHAnsi"/>
          <w:lang w:val="fr-FR"/>
        </w:rPr>
        <w:t>intervention croissante des entreprises dans le financement de la recherche, sont autant de facteurs menaçant considérablement la qualité, l</w:t>
      </w:r>
      <w:r w:rsidR="00381B60" w:rsidRPr="00381B60">
        <w:rPr>
          <w:rFonts w:asciiTheme="majorHAnsi" w:hAnsiTheme="majorHAnsi"/>
          <w:lang w:val="fr-FR"/>
        </w:rPr>
        <w:t>’</w:t>
      </w:r>
      <w:r w:rsidRPr="00381B60">
        <w:rPr>
          <w:rFonts w:asciiTheme="majorHAnsi" w:hAnsiTheme="majorHAnsi"/>
          <w:lang w:val="fr-FR"/>
        </w:rPr>
        <w:t>accès et l</w:t>
      </w:r>
      <w:r w:rsidR="00381B60" w:rsidRPr="00381B60">
        <w:rPr>
          <w:rFonts w:asciiTheme="majorHAnsi" w:hAnsiTheme="majorHAnsi"/>
          <w:lang w:val="fr-FR"/>
        </w:rPr>
        <w:t>’</w:t>
      </w:r>
      <w:r w:rsidRPr="00381B60">
        <w:rPr>
          <w:rFonts w:asciiTheme="majorHAnsi" w:hAnsiTheme="majorHAnsi"/>
          <w:lang w:val="fr-FR"/>
        </w:rPr>
        <w:t>intégrité de l</w:t>
      </w:r>
      <w:r w:rsidR="00381B60" w:rsidRPr="00381B60">
        <w:rPr>
          <w:rFonts w:asciiTheme="majorHAnsi" w:hAnsiTheme="majorHAnsi"/>
          <w:lang w:val="fr-FR"/>
        </w:rPr>
        <w:t>’</w:t>
      </w:r>
      <w:r w:rsidRPr="00381B60">
        <w:rPr>
          <w:rFonts w:asciiTheme="majorHAnsi" w:hAnsiTheme="majorHAnsi"/>
          <w:lang w:val="fr-FR"/>
        </w:rPr>
        <w:t>enseignement supérieur et de la recherche. Comment le secteur privé façonne-t-il l</w:t>
      </w:r>
      <w:r w:rsidR="00381B60" w:rsidRPr="00381B60">
        <w:rPr>
          <w:rFonts w:asciiTheme="majorHAnsi" w:hAnsiTheme="majorHAnsi"/>
          <w:lang w:val="fr-FR"/>
        </w:rPr>
        <w:t>’</w:t>
      </w:r>
      <w:r w:rsidRPr="00381B60">
        <w:rPr>
          <w:rFonts w:asciiTheme="majorHAnsi" w:hAnsiTheme="majorHAnsi"/>
          <w:lang w:val="fr-FR"/>
        </w:rPr>
        <w:t>enseignement supérieur et la recherche à travers le monde ? Qui sont les principaux acteurs et que savons-nous d</w:t>
      </w:r>
      <w:r w:rsidR="00381B60" w:rsidRPr="00381B60">
        <w:rPr>
          <w:rFonts w:asciiTheme="majorHAnsi" w:hAnsiTheme="majorHAnsi"/>
          <w:lang w:val="fr-FR"/>
        </w:rPr>
        <w:t>’</w:t>
      </w:r>
      <w:r w:rsidRPr="00381B60">
        <w:rPr>
          <w:rFonts w:asciiTheme="majorHAnsi" w:hAnsiTheme="majorHAnsi"/>
          <w:lang w:val="fr-FR"/>
        </w:rPr>
        <w:t>eux ? Quelles sont les implications de ce processus de privatisation sur les libertés académiques, l</w:t>
      </w:r>
      <w:r w:rsidR="00381B60" w:rsidRPr="00381B60">
        <w:rPr>
          <w:rFonts w:asciiTheme="majorHAnsi" w:hAnsiTheme="majorHAnsi"/>
          <w:lang w:val="fr-FR"/>
        </w:rPr>
        <w:t>’</w:t>
      </w:r>
      <w:r w:rsidRPr="00381B60">
        <w:rPr>
          <w:rFonts w:asciiTheme="majorHAnsi" w:hAnsiTheme="majorHAnsi"/>
          <w:lang w:val="fr-FR"/>
        </w:rPr>
        <w:t>intégrité de l</w:t>
      </w:r>
      <w:r w:rsidR="00381B60" w:rsidRPr="00381B60">
        <w:rPr>
          <w:rFonts w:asciiTheme="majorHAnsi" w:hAnsiTheme="majorHAnsi"/>
          <w:lang w:val="fr-FR"/>
        </w:rPr>
        <w:t>’</w:t>
      </w:r>
      <w:r w:rsidRPr="00381B60">
        <w:rPr>
          <w:rFonts w:asciiTheme="majorHAnsi" w:hAnsiTheme="majorHAnsi"/>
          <w:lang w:val="fr-FR"/>
        </w:rPr>
        <w:t>enseignement et de la recherche, et sur la capacité de l</w:t>
      </w:r>
      <w:r w:rsidR="00381B60" w:rsidRPr="00381B60">
        <w:rPr>
          <w:rFonts w:asciiTheme="majorHAnsi" w:hAnsiTheme="majorHAnsi"/>
          <w:lang w:val="fr-FR"/>
        </w:rPr>
        <w:t>’</w:t>
      </w:r>
      <w:r w:rsidRPr="00381B60">
        <w:rPr>
          <w:rFonts w:asciiTheme="majorHAnsi" w:hAnsiTheme="majorHAnsi"/>
          <w:lang w:val="fr-FR"/>
        </w:rPr>
        <w:t xml:space="preserve">enseignement et de la recherche à trouver des solutions aux problèmes sociaux et environnementaux actuels et aux nouvelles urgences ? Que font les affiliés et comment peuvent-ils agir ensemble pour contrecarrer la privatisation ? </w:t>
      </w:r>
    </w:p>
    <w:p w14:paraId="14A79A64" w14:textId="77777777" w:rsidR="00C266F4" w:rsidRPr="00381B60" w:rsidRDefault="00C266F4" w:rsidP="00C266F4">
      <w:pPr>
        <w:rPr>
          <w:rFonts w:asciiTheme="majorHAnsi" w:hAnsiTheme="majorHAnsi"/>
          <w:lang w:val="fr-FR"/>
        </w:rPr>
      </w:pPr>
      <w:r w:rsidRPr="00381B60">
        <w:rPr>
          <w:rFonts w:asciiTheme="majorHAnsi" w:hAnsiTheme="majorHAnsi"/>
          <w:lang w:val="fr-FR"/>
        </w:rPr>
        <w:t>10:30 – 11:00</w:t>
      </w:r>
      <w:r w:rsidRPr="00381B60">
        <w:rPr>
          <w:rFonts w:asciiTheme="majorHAnsi" w:hAnsiTheme="majorHAnsi"/>
          <w:lang w:val="fr-FR"/>
        </w:rPr>
        <w:tab/>
      </w:r>
      <w:r w:rsidRPr="00381B60">
        <w:rPr>
          <w:rFonts w:asciiTheme="majorHAnsi" w:hAnsiTheme="majorHAnsi"/>
          <w:b/>
          <w:lang w:val="fr-FR"/>
        </w:rPr>
        <w:t>Pause</w:t>
      </w:r>
    </w:p>
    <w:p w14:paraId="7CDABBBA" w14:textId="77777777" w:rsidR="000730ED" w:rsidRPr="00381B60" w:rsidRDefault="00C266F4" w:rsidP="00C266F4">
      <w:pPr>
        <w:rPr>
          <w:rFonts w:asciiTheme="majorHAnsi" w:hAnsiTheme="majorHAnsi"/>
          <w:lang w:val="fr-FR"/>
        </w:rPr>
      </w:pPr>
      <w:r w:rsidRPr="00381B60">
        <w:rPr>
          <w:rFonts w:asciiTheme="majorHAnsi" w:hAnsiTheme="majorHAnsi"/>
          <w:lang w:val="fr-FR"/>
        </w:rPr>
        <w:t>11:00 – 12:00</w:t>
      </w:r>
      <w:r w:rsidRPr="00381B60">
        <w:rPr>
          <w:rFonts w:asciiTheme="majorHAnsi" w:hAnsiTheme="majorHAnsi"/>
          <w:lang w:val="fr-FR"/>
        </w:rPr>
        <w:tab/>
      </w:r>
      <w:r w:rsidR="000730ED" w:rsidRPr="00381B60">
        <w:rPr>
          <w:rFonts w:asciiTheme="majorHAnsi" w:hAnsiTheme="majorHAnsi"/>
          <w:b/>
          <w:lang w:val="fr-FR"/>
        </w:rPr>
        <w:t>Séance plénière 7</w:t>
      </w:r>
    </w:p>
    <w:p w14:paraId="6E60C0C2" w14:textId="77777777" w:rsidR="00C266F4" w:rsidRPr="00381B60" w:rsidRDefault="00C266F4" w:rsidP="00381B60">
      <w:pPr>
        <w:ind w:left="720" w:firstLine="720"/>
        <w:outlineLvl w:val="0"/>
        <w:rPr>
          <w:rFonts w:asciiTheme="majorHAnsi" w:hAnsiTheme="majorHAnsi"/>
          <w:lang w:val="fr-FR"/>
        </w:rPr>
      </w:pPr>
      <w:r w:rsidRPr="00381B60">
        <w:rPr>
          <w:rFonts w:asciiTheme="majorHAnsi" w:hAnsiTheme="majorHAnsi"/>
          <w:b/>
          <w:color w:val="675E47" w:themeColor="text2"/>
          <w:lang w:val="fr-FR"/>
        </w:rPr>
        <w:t>Rapports des groupes de discussion parallèles :</w:t>
      </w:r>
    </w:p>
    <w:p w14:paraId="10CFCBCA" w14:textId="77777777" w:rsidR="000730ED" w:rsidRPr="00381B60" w:rsidRDefault="00C266F4" w:rsidP="00C266F4">
      <w:pPr>
        <w:rPr>
          <w:rFonts w:asciiTheme="majorHAnsi" w:hAnsiTheme="majorHAnsi"/>
          <w:lang w:val="fr-FR"/>
        </w:rPr>
      </w:pPr>
      <w:r w:rsidRPr="00381B60">
        <w:rPr>
          <w:rFonts w:asciiTheme="majorHAnsi" w:hAnsiTheme="majorHAnsi"/>
          <w:lang w:val="fr-FR"/>
        </w:rPr>
        <w:lastRenderedPageBreak/>
        <w:t>12:00 – 12:30</w:t>
      </w:r>
      <w:r w:rsidRPr="00381B60">
        <w:rPr>
          <w:rFonts w:asciiTheme="majorHAnsi" w:hAnsiTheme="majorHAnsi"/>
          <w:lang w:val="fr-FR"/>
        </w:rPr>
        <w:tab/>
      </w:r>
      <w:r w:rsidR="000730ED" w:rsidRPr="00381B60">
        <w:rPr>
          <w:rFonts w:asciiTheme="majorHAnsi" w:hAnsiTheme="majorHAnsi"/>
          <w:b/>
          <w:lang w:val="fr-FR"/>
        </w:rPr>
        <w:t>Séance plénière 8</w:t>
      </w:r>
    </w:p>
    <w:p w14:paraId="0EC9BADC" w14:textId="77777777" w:rsidR="00C266F4" w:rsidRPr="00381B60" w:rsidRDefault="00C266F4" w:rsidP="00381B60">
      <w:pPr>
        <w:ind w:left="720" w:firstLine="720"/>
        <w:outlineLvl w:val="0"/>
        <w:rPr>
          <w:rFonts w:asciiTheme="majorHAnsi" w:hAnsiTheme="majorHAnsi"/>
          <w:lang w:val="fr-FR"/>
        </w:rPr>
      </w:pPr>
      <w:r w:rsidRPr="00381B60">
        <w:rPr>
          <w:rFonts w:asciiTheme="majorHAnsi" w:hAnsiTheme="majorHAnsi"/>
          <w:b/>
          <w:color w:val="675E47" w:themeColor="text2"/>
          <w:lang w:val="fr-FR"/>
        </w:rPr>
        <w:t>Séance de clôture</w:t>
      </w:r>
    </w:p>
    <w:p w14:paraId="6C123F6B" w14:textId="77777777" w:rsidR="00C266F4" w:rsidRPr="00381B60" w:rsidRDefault="00C266F4" w:rsidP="00381B60">
      <w:pPr>
        <w:outlineLvl w:val="0"/>
        <w:rPr>
          <w:rFonts w:asciiTheme="majorHAnsi" w:hAnsiTheme="majorHAnsi"/>
          <w:i/>
          <w:lang w:val="fr-FR"/>
        </w:rPr>
      </w:pPr>
      <w:r w:rsidRPr="00381B60">
        <w:rPr>
          <w:rFonts w:asciiTheme="majorHAnsi" w:hAnsiTheme="majorHAnsi"/>
          <w:lang w:val="fr-FR"/>
        </w:rPr>
        <w:tab/>
      </w:r>
      <w:r w:rsidRPr="00381B60">
        <w:rPr>
          <w:rFonts w:asciiTheme="majorHAnsi" w:hAnsiTheme="majorHAnsi"/>
          <w:lang w:val="fr-FR"/>
        </w:rPr>
        <w:tab/>
      </w:r>
      <w:r w:rsidRPr="00381B60">
        <w:rPr>
          <w:rFonts w:asciiTheme="majorHAnsi" w:hAnsiTheme="majorHAnsi"/>
          <w:i/>
          <w:lang w:val="fr-FR"/>
        </w:rPr>
        <w:t>Adoption du rapport et des recommandations de la conférence</w:t>
      </w:r>
    </w:p>
    <w:p w14:paraId="1317E03D" w14:textId="77777777" w:rsidR="00C266F4" w:rsidRPr="00381B60" w:rsidRDefault="00E41CE4" w:rsidP="00C266F4">
      <w:pPr>
        <w:rPr>
          <w:rFonts w:asciiTheme="majorHAnsi" w:hAnsiTheme="majorHAnsi"/>
          <w:lang w:val="fr-FR"/>
        </w:rPr>
      </w:pPr>
      <w:r w:rsidRPr="00381B60">
        <w:rPr>
          <w:rFonts w:asciiTheme="majorHAnsi" w:hAnsiTheme="majorHAnsi"/>
          <w:lang w:val="fr-FR"/>
        </w:rPr>
        <w:t>12:30 – 13:30</w:t>
      </w:r>
      <w:r w:rsidRPr="00381B60">
        <w:rPr>
          <w:rFonts w:asciiTheme="majorHAnsi" w:hAnsiTheme="majorHAnsi"/>
          <w:lang w:val="fr-FR"/>
        </w:rPr>
        <w:tab/>
      </w:r>
      <w:r w:rsidRPr="00381B60">
        <w:rPr>
          <w:rFonts w:asciiTheme="majorHAnsi" w:hAnsiTheme="majorHAnsi"/>
          <w:b/>
          <w:lang w:val="fr-FR"/>
        </w:rPr>
        <w:t>Déjeuner</w:t>
      </w:r>
    </w:p>
    <w:p w14:paraId="16023B16" w14:textId="77777777" w:rsidR="00C266F4" w:rsidRPr="00381B60" w:rsidRDefault="00E41CE4" w:rsidP="00767D2E">
      <w:pPr>
        <w:rPr>
          <w:rFonts w:asciiTheme="majorHAnsi" w:hAnsiTheme="majorHAnsi"/>
          <w:lang w:val="fr-FR"/>
        </w:rPr>
      </w:pPr>
      <w:r w:rsidRPr="00381B60">
        <w:rPr>
          <w:rFonts w:asciiTheme="majorHAnsi" w:hAnsiTheme="majorHAnsi"/>
          <w:lang w:val="fr-FR"/>
        </w:rPr>
        <w:t>13:30 – 16:30</w:t>
      </w:r>
      <w:r w:rsidRPr="00381B60">
        <w:rPr>
          <w:rFonts w:asciiTheme="majorHAnsi" w:hAnsiTheme="majorHAnsi"/>
          <w:lang w:val="fr-FR"/>
        </w:rPr>
        <w:tab/>
        <w:t>Visite de l</w:t>
      </w:r>
      <w:r w:rsidR="00381B60" w:rsidRPr="00381B60">
        <w:rPr>
          <w:rFonts w:asciiTheme="majorHAnsi" w:hAnsiTheme="majorHAnsi"/>
          <w:lang w:val="fr-FR"/>
        </w:rPr>
        <w:t>’</w:t>
      </w:r>
      <w:r w:rsidRPr="00381B60">
        <w:rPr>
          <w:rFonts w:asciiTheme="majorHAnsi" w:hAnsiTheme="majorHAnsi"/>
          <w:lang w:val="fr-FR"/>
        </w:rPr>
        <w:t>Université du Ghana (facultatif)</w:t>
      </w:r>
      <w:r w:rsidR="00705419" w:rsidRPr="00381B60">
        <w:rPr>
          <w:rStyle w:val="FootnoteReference"/>
          <w:rFonts w:asciiTheme="majorHAnsi" w:hAnsiTheme="majorHAnsi"/>
          <w:lang w:val="fr-FR"/>
        </w:rPr>
        <w:footnoteReference w:id="1"/>
      </w:r>
    </w:p>
    <w:sectPr w:rsidR="00C266F4" w:rsidRPr="00381B60">
      <w:footnotePr>
        <w:numFmt w:val="chicago"/>
      </w:footnotePr>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B59A7F" w14:textId="77777777" w:rsidR="00705419" w:rsidRDefault="00705419" w:rsidP="00705419">
      <w:pPr>
        <w:spacing w:after="0" w:line="240" w:lineRule="auto"/>
      </w:pPr>
      <w:r>
        <w:separator/>
      </w:r>
    </w:p>
  </w:endnote>
  <w:endnote w:type="continuationSeparator" w:id="0">
    <w:p w14:paraId="473BF49C" w14:textId="77777777" w:rsidR="00705419" w:rsidRDefault="00705419" w:rsidP="007054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A173EF" w14:textId="77777777" w:rsidR="00705419" w:rsidRDefault="00705419" w:rsidP="00705419">
      <w:pPr>
        <w:spacing w:after="0" w:line="240" w:lineRule="auto"/>
      </w:pPr>
      <w:r>
        <w:separator/>
      </w:r>
    </w:p>
  </w:footnote>
  <w:footnote w:type="continuationSeparator" w:id="0">
    <w:p w14:paraId="16BF1330" w14:textId="77777777" w:rsidR="00705419" w:rsidRDefault="00705419" w:rsidP="00705419">
      <w:pPr>
        <w:spacing w:after="0" w:line="240" w:lineRule="auto"/>
      </w:pPr>
      <w:r>
        <w:continuationSeparator/>
      </w:r>
    </w:p>
  </w:footnote>
  <w:footnote w:id="1">
    <w:p w14:paraId="13149C25" w14:textId="77777777" w:rsidR="00705419" w:rsidRPr="00705419" w:rsidRDefault="00705419">
      <w:pPr>
        <w:pStyle w:val="FootnoteText"/>
        <w:rPr>
          <w:lang w:val="en-US"/>
        </w:rPr>
      </w:pPr>
      <w:r>
        <w:rPr>
          <w:rStyle w:val="FootnoteReference"/>
        </w:rPr>
        <w:footnoteRef/>
      </w:r>
      <w:r>
        <w:t xml:space="preserve"> </w:t>
      </w:r>
      <w:r w:rsidRPr="00705419">
        <w:rPr>
          <w:i/>
          <w:lang w:val="fr"/>
        </w:rPr>
        <w:t>A confirmer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B307E"/>
    <w:multiLevelType w:val="hybridMultilevel"/>
    <w:tmpl w:val="18165D46"/>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6F4"/>
    <w:rsid w:val="000730ED"/>
    <w:rsid w:val="00122534"/>
    <w:rsid w:val="0012774C"/>
    <w:rsid w:val="0015100A"/>
    <w:rsid w:val="00182571"/>
    <w:rsid w:val="00281D29"/>
    <w:rsid w:val="002C27FC"/>
    <w:rsid w:val="00381B60"/>
    <w:rsid w:val="003842B9"/>
    <w:rsid w:val="00442197"/>
    <w:rsid w:val="005C3345"/>
    <w:rsid w:val="0061572C"/>
    <w:rsid w:val="00647F73"/>
    <w:rsid w:val="00675E0D"/>
    <w:rsid w:val="00705419"/>
    <w:rsid w:val="007070DD"/>
    <w:rsid w:val="00722967"/>
    <w:rsid w:val="00727BEB"/>
    <w:rsid w:val="00767D2E"/>
    <w:rsid w:val="007A2E23"/>
    <w:rsid w:val="00857FBD"/>
    <w:rsid w:val="00894FA6"/>
    <w:rsid w:val="00915533"/>
    <w:rsid w:val="00994AD4"/>
    <w:rsid w:val="009979F5"/>
    <w:rsid w:val="00A068D1"/>
    <w:rsid w:val="00A93FD2"/>
    <w:rsid w:val="00AD1330"/>
    <w:rsid w:val="00B55472"/>
    <w:rsid w:val="00BE5E49"/>
    <w:rsid w:val="00C0748C"/>
    <w:rsid w:val="00C266F4"/>
    <w:rsid w:val="00D80B35"/>
    <w:rsid w:val="00D80F38"/>
    <w:rsid w:val="00DF72F6"/>
    <w:rsid w:val="00E14BEB"/>
    <w:rsid w:val="00E41CE4"/>
    <w:rsid w:val="00F12CBC"/>
    <w:rsid w:val="00F41EC1"/>
    <w:rsid w:val="00F5410E"/>
    <w:rsid w:val="00FE23DF"/>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F5F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5472"/>
    <w:pPr>
      <w:ind w:left="720"/>
      <w:contextualSpacing/>
    </w:pPr>
  </w:style>
  <w:style w:type="paragraph" w:styleId="FootnoteText">
    <w:name w:val="footnote text"/>
    <w:basedOn w:val="Normal"/>
    <w:link w:val="FootnoteTextChar"/>
    <w:uiPriority w:val="99"/>
    <w:semiHidden/>
    <w:unhideWhenUsed/>
    <w:rsid w:val="0070541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05419"/>
    <w:rPr>
      <w:sz w:val="20"/>
      <w:szCs w:val="20"/>
    </w:rPr>
  </w:style>
  <w:style w:type="character" w:styleId="FootnoteReference">
    <w:name w:val="footnote reference"/>
    <w:basedOn w:val="DefaultParagraphFont"/>
    <w:uiPriority w:val="99"/>
    <w:semiHidden/>
    <w:unhideWhenUsed/>
    <w:rsid w:val="00705419"/>
    <w:rPr>
      <w:vertAlign w:val="superscript"/>
    </w:rPr>
  </w:style>
  <w:style w:type="paragraph" w:styleId="Header">
    <w:name w:val="header"/>
    <w:basedOn w:val="Normal"/>
    <w:link w:val="HeaderChar"/>
    <w:uiPriority w:val="99"/>
    <w:unhideWhenUsed/>
    <w:rsid w:val="00381B60"/>
    <w:pPr>
      <w:tabs>
        <w:tab w:val="center" w:pos="4153"/>
        <w:tab w:val="right" w:pos="8306"/>
      </w:tabs>
      <w:spacing w:after="0" w:line="240" w:lineRule="auto"/>
    </w:pPr>
  </w:style>
  <w:style w:type="character" w:customStyle="1" w:styleId="HeaderChar">
    <w:name w:val="Header Char"/>
    <w:basedOn w:val="DefaultParagraphFont"/>
    <w:link w:val="Header"/>
    <w:uiPriority w:val="99"/>
    <w:rsid w:val="00381B60"/>
  </w:style>
  <w:style w:type="paragraph" w:styleId="Footer">
    <w:name w:val="footer"/>
    <w:basedOn w:val="Normal"/>
    <w:link w:val="FooterChar"/>
    <w:uiPriority w:val="99"/>
    <w:unhideWhenUsed/>
    <w:rsid w:val="00381B60"/>
    <w:pPr>
      <w:tabs>
        <w:tab w:val="center" w:pos="4153"/>
        <w:tab w:val="right" w:pos="8306"/>
      </w:tabs>
      <w:spacing w:after="0" w:line="240" w:lineRule="auto"/>
    </w:pPr>
  </w:style>
  <w:style w:type="character" w:customStyle="1" w:styleId="FooterChar">
    <w:name w:val="Footer Char"/>
    <w:basedOn w:val="DefaultParagraphFont"/>
    <w:link w:val="Footer"/>
    <w:uiPriority w:val="99"/>
    <w:rsid w:val="00381B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5472"/>
    <w:pPr>
      <w:ind w:left="720"/>
      <w:contextualSpacing/>
    </w:pPr>
  </w:style>
  <w:style w:type="paragraph" w:styleId="FootnoteText">
    <w:name w:val="footnote text"/>
    <w:basedOn w:val="Normal"/>
    <w:link w:val="FootnoteTextChar"/>
    <w:uiPriority w:val="99"/>
    <w:semiHidden/>
    <w:unhideWhenUsed/>
    <w:rsid w:val="0070541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05419"/>
    <w:rPr>
      <w:sz w:val="20"/>
      <w:szCs w:val="20"/>
    </w:rPr>
  </w:style>
  <w:style w:type="character" w:styleId="FootnoteReference">
    <w:name w:val="footnote reference"/>
    <w:basedOn w:val="DefaultParagraphFont"/>
    <w:uiPriority w:val="99"/>
    <w:semiHidden/>
    <w:unhideWhenUsed/>
    <w:rsid w:val="00705419"/>
    <w:rPr>
      <w:vertAlign w:val="superscript"/>
    </w:rPr>
  </w:style>
  <w:style w:type="paragraph" w:styleId="Header">
    <w:name w:val="header"/>
    <w:basedOn w:val="Normal"/>
    <w:link w:val="HeaderChar"/>
    <w:uiPriority w:val="99"/>
    <w:unhideWhenUsed/>
    <w:rsid w:val="00381B60"/>
    <w:pPr>
      <w:tabs>
        <w:tab w:val="center" w:pos="4153"/>
        <w:tab w:val="right" w:pos="8306"/>
      </w:tabs>
      <w:spacing w:after="0" w:line="240" w:lineRule="auto"/>
    </w:pPr>
  </w:style>
  <w:style w:type="character" w:customStyle="1" w:styleId="HeaderChar">
    <w:name w:val="Header Char"/>
    <w:basedOn w:val="DefaultParagraphFont"/>
    <w:link w:val="Header"/>
    <w:uiPriority w:val="99"/>
    <w:rsid w:val="00381B60"/>
  </w:style>
  <w:style w:type="paragraph" w:styleId="Footer">
    <w:name w:val="footer"/>
    <w:basedOn w:val="Normal"/>
    <w:link w:val="FooterChar"/>
    <w:uiPriority w:val="99"/>
    <w:unhideWhenUsed/>
    <w:rsid w:val="00381B60"/>
    <w:pPr>
      <w:tabs>
        <w:tab w:val="center" w:pos="4153"/>
        <w:tab w:val="right" w:pos="8306"/>
      </w:tabs>
      <w:spacing w:after="0" w:line="240" w:lineRule="auto"/>
    </w:pPr>
  </w:style>
  <w:style w:type="character" w:customStyle="1" w:styleId="FooterChar">
    <w:name w:val="Footer Char"/>
    <w:basedOn w:val="DefaultParagraphFont"/>
    <w:link w:val="Footer"/>
    <w:uiPriority w:val="99"/>
    <w:rsid w:val="00381B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2.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EI Document" ma:contentTypeID="0x010100AA2F8202531E2B479DC903BD7BCD5C3F00E04239BAE3CFF643A8203BF81E96DC51" ma:contentTypeVersion="53" ma:contentTypeDescription="" ma:contentTypeScope="" ma:versionID="3ecdb67ee59564c7ec43419591cb38be">
  <xsd:schema xmlns:xsd="http://www.w3.org/2001/XMLSchema" xmlns:xs="http://www.w3.org/2001/XMLSchema" xmlns:p="http://schemas.microsoft.com/office/2006/metadata/properties" xmlns:ns2="db13979b-e751-4565-a77b-71e7edb4f069" targetNamespace="http://schemas.microsoft.com/office/2006/metadata/properties" ma:root="true" ma:fieldsID="68c9f9e723ff3b8d29c1e4b1699411ec" ns2:_="">
    <xsd:import namespace="db13979b-e751-4565-a77b-71e7edb4f069"/>
    <xsd:element name="properties">
      <xsd:complexType>
        <xsd:sequence>
          <xsd:element name="documentManagement">
            <xsd:complexType>
              <xsd:all>
                <xsd:element ref="ns2:Date" minOccurs="0"/>
                <xsd:element ref="ns2:DocumentLanguage" minOccurs="0"/>
                <xsd:element ref="ns2:AvailableOnWebsite" minOccurs="0"/>
                <xsd:element ref="ns2:EIRegion" minOccurs="0"/>
                <xsd:element ref="ns2:EIUnit" minOccurs="0"/>
                <xsd:element ref="ns2:EIOrgan" minOccurs="0"/>
                <xsd:element ref="ns2:EI_x0020_Event" minOccurs="0"/>
                <xsd:element ref="ns2:EITopic" minOccurs="0"/>
                <xsd:element ref="ns2:DocumentSource" minOccurs="0"/>
                <xsd:element ref="ns2:EITermbaseTaxHTField0" minOccurs="0"/>
                <xsd:element ref="ns2:TaxCatchAll" minOccurs="0"/>
                <xsd:element ref="ns2:TaxCatchAllLabel" minOccurs="0"/>
                <xsd:element ref="ns2:l360261a294540c48d9b0fdee2fb1d22" minOccurs="0"/>
                <xsd:element ref="ns2:hd0be951f11940a08013d67eec6505c8" minOccurs="0"/>
                <xsd:element ref="ns2:o79ce48fd8d44e5eaac3fd0fc82a2951" minOccurs="0"/>
                <xsd:element ref="ns2:kd7281ab553349538e0242a0ee89a9e1" minOccurs="0"/>
                <xsd:element ref="ns2:i64256cf79b641ea809ba8b9a8069568"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13979b-e751-4565-a77b-71e7edb4f069" elementFormDefault="qualified">
    <xsd:import namespace="http://schemas.microsoft.com/office/2006/documentManagement/types"/>
    <xsd:import namespace="http://schemas.microsoft.com/office/infopath/2007/PartnerControls"/>
    <xsd:element name="Date" ma:index="2" nillable="true" ma:displayName="Date" ma:description="EI document date." ma:format="DateOnly" ma:internalName="Date">
      <xsd:simpleType>
        <xsd:restriction base="dms:DateTime"/>
      </xsd:simpleType>
    </xsd:element>
    <xsd:element name="DocumentLanguage" ma:index="5" nillable="true" ma:displayName="Document Language" ma:default="English" ma:format="RadioButtons" ma:internalName="DocumentLanguage">
      <xsd:simpleType>
        <xsd:restriction base="dms:Choice">
          <xsd:enumeration value="English"/>
          <xsd:enumeration value="French"/>
          <xsd:enumeration value="Spanish"/>
          <xsd:enumeration value="Other"/>
          <xsd:enumeration value="Multiple"/>
        </xsd:restriction>
      </xsd:simpleType>
    </xsd:element>
    <xsd:element name="AvailableOnWebsite" ma:index="6" nillable="true" ma:displayName="Available On Website" ma:default="1" ma:description="Make this document available on the public EI website." ma:internalName="AvailableOnWebsite">
      <xsd:simpleType>
        <xsd:restriction base="dms:Boolean"/>
      </xsd:simpleType>
    </xsd:element>
    <xsd:element name="EIRegion" ma:index="7" nillable="true" ma:displayName="EI Region" ma:description="Education International region." ma:hidden="true" ma:list="{29c7dc5d-89a6-4101-a71e-0c6c975a07cf}" ma:internalName="EIRegion"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EIUnit" ma:index="8" nillable="true" ma:displayName="EI Unit" ma:hidden="true" ma:list="068bb678-3c6d-45ba-97bd-4f06a914f196" ma:internalName="EIUnit"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EIOrgan" ma:index="9" nillable="true" ma:displayName="EI Group" ma:hidden="true" ma:list="{2698a646-4c05-4ac8-9e4f-4a88bcd5d2e2}" ma:internalName="EIOrgan"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EI_x0020_Event" ma:index="11" nillable="true" ma:displayName="EI Event" ma:hidden="true" ma:list="{0292d145-1b29-4696-ba3c-d4afe19ee511}" ma:internalName="EI_x0020_Event" ma:readOnly="false" ma:showField="EventTitleForChoiceDropdown" ma:web="db13979b-e751-4565-a77b-71e7edb4f069">
      <xsd:simpleType>
        <xsd:restriction base="dms:Lookup"/>
      </xsd:simpleType>
    </xsd:element>
    <xsd:element name="EITopic" ma:index="12" nillable="true" ma:displayName="EI Topic" ma:hidden="true" ma:list="dd9f5b98-3a89-4125-b977-90d82d0197dd" ma:internalName="EITopic"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DocumentSource" ma:index="13" nillable="true" ma:displayName="Document Source" ma:description="Organisation which issued the document." ma:list="{49ba241f-8346-4576-b9e1-b1a7b41f86e8}" ma:internalName="DocumentSource" ma:showField="Title" ma:web="db13979b-e751-4565-a77b-71e7edb4f069">
      <xsd:simpleType>
        <xsd:restriction base="dms:Lookup"/>
      </xsd:simpleType>
    </xsd:element>
    <xsd:element name="EITermbaseTaxHTField0" ma:index="19" nillable="true" ma:taxonomy="true" ma:internalName="EITermbaseTaxHTField0" ma:taxonomyFieldName="EITermbase" ma:displayName="EIDocType" ma:readOnly="false" ma:default="" ma:fieldId="{58649bc0-05b1-4c82-b72c-a96912b32633}" ma:taxonomyMulti="true" ma:sspId="0af2f461-2480-4a31-ac78-b054563ee389" ma:termSetId="2591b47b-c34c-4ee1-a350-73f6d52a178b" ma:anchorId="00000000-0000-0000-0000-000000000000" ma:open="true" ma:isKeyword="false">
      <xsd:complexType>
        <xsd:sequence>
          <xsd:element ref="pc:Terms" minOccurs="0" maxOccurs="1"/>
        </xsd:sequence>
      </xsd:complexType>
    </xsd:element>
    <xsd:element name="TaxCatchAll" ma:index="20" nillable="true" ma:displayName="Taxonomy Catch All Column" ma:hidden="true" ma:list="{e31c9898-5599-4d3d-bde2-aae45224e11b}" ma:internalName="TaxCatchAll" ma:showField="CatchAllData"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e31c9898-5599-4d3d-bde2-aae45224e11b}" ma:internalName="TaxCatchAllLabel" ma:readOnly="true" ma:showField="CatchAllDataLabel"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l360261a294540c48d9b0fdee2fb1d22" ma:index="23" nillable="true" ma:taxonomy="true" ma:internalName="l360261a294540c48d9b0fdee2fb1d22" ma:taxonomyFieldName="EIEvent" ma:displayName="EIEvent" ma:default="" ma:fieldId="{5360261a-2945-40c4-8d9b-0fdee2fb1d22}" ma:taxonomyMulti="true" ma:sspId="0af2f461-2480-4a31-ac78-b054563ee389" ma:termSetId="46d855b6-eb13-4760-91d1-66f27ae7dc32" ma:anchorId="00000000-0000-0000-0000-000000000000" ma:open="true" ma:isKeyword="false">
      <xsd:complexType>
        <xsd:sequence>
          <xsd:element ref="pc:Terms" minOccurs="0" maxOccurs="1"/>
        </xsd:sequence>
      </xsd:complexType>
    </xsd:element>
    <xsd:element name="hd0be951f11940a08013d67eec6505c8" ma:index="25" nillable="true" ma:taxonomy="true" ma:internalName="hd0be951f11940a08013d67eec6505c8" ma:taxonomyFieldName="EIUnit1" ma:displayName="EIUnit" ma:readOnly="false" ma:default="" ma:fieldId="{1d0be951-f119-40a0-8013-d67eec6505c8}" ma:taxonomyMulti="true" ma:sspId="0af2f461-2480-4a31-ac78-b054563ee389" ma:termSetId="5f7ca6b7-bc5d-4a29-b9c5-9d61f96be714" ma:anchorId="00000000-0000-0000-0000-000000000000" ma:open="false" ma:isKeyword="false">
      <xsd:complexType>
        <xsd:sequence>
          <xsd:element ref="pc:Terms" minOccurs="0" maxOccurs="1"/>
        </xsd:sequence>
      </xsd:complexType>
    </xsd:element>
    <xsd:element name="o79ce48fd8d44e5eaac3fd0fc82a2951" ma:index="27" nillable="true" ma:taxonomy="true" ma:internalName="o79ce48fd8d44e5eaac3fd0fc82a2951" ma:taxonomyFieldName="EIGroup" ma:displayName="EIGroup" ma:default="" ma:fieldId="{879ce48f-d8d4-4e5e-aac3-fd0fc82a2951}" ma:taxonomyMulti="true" ma:sspId="0af2f461-2480-4a31-ac78-b054563ee389" ma:termSetId="1e97bc08-ae7e-4277-9be6-12765f62b22d" ma:anchorId="00000000-0000-0000-0000-000000000000" ma:open="false" ma:isKeyword="false">
      <xsd:complexType>
        <xsd:sequence>
          <xsd:element ref="pc:Terms" minOccurs="0" maxOccurs="1"/>
        </xsd:sequence>
      </xsd:complexType>
    </xsd:element>
    <xsd:element name="kd7281ab553349538e0242a0ee89a9e1" ma:index="29" nillable="true" ma:taxonomy="true" ma:internalName="kd7281ab553349538e0242a0ee89a9e1" ma:taxonomyFieldName="EITopic1" ma:displayName="EITopic" ma:default="" ma:fieldId="{4d7281ab-5533-4953-8e02-42a0ee89a9e1}" ma:taxonomyMulti="true" ma:sspId="0af2f461-2480-4a31-ac78-b054563ee389" ma:termSetId="e2436a82-f458-4e28-a4e0-fa06e0b95176" ma:anchorId="00000000-0000-0000-0000-000000000000" ma:open="false" ma:isKeyword="false">
      <xsd:complexType>
        <xsd:sequence>
          <xsd:element ref="pc:Terms" minOccurs="0" maxOccurs="1"/>
        </xsd:sequence>
      </xsd:complexType>
    </xsd:element>
    <xsd:element name="i64256cf79b641ea809ba8b9a8069568" ma:index="31" nillable="true" ma:taxonomy="true" ma:internalName="i64256cf79b641ea809ba8b9a8069568" ma:taxonomyFieldName="EIRegion1" ma:displayName="EIRegion" ma:default="" ma:fieldId="{264256cf-79b6-41ea-809b-a8b9a8069568}" ma:taxonomyMulti="true" ma:sspId="0af2f461-2480-4a31-ac78-b054563ee389" ma:termSetId="126f87e2-8982-4d73-8d0c-1d6ec05017e8"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customXsn xmlns="http://schemas.microsoft.com/office/2006/metadata/customXsn">
  <xsnLocation>http://portal/_cts/EIDocument/8b5470c660bc9b5ccustomXsn.xsn</xsnLocation>
  <cached>True</cached>
  <openByDefault>True</openByDefault>
  <xsnScope>http://portal</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EIUnit xmlns="db13979b-e751-4565-a77b-71e7edb4f069"/>
    <l360261a294540c48d9b0fdee2fb1d22 xmlns="db13979b-e751-4565-a77b-71e7edb4f069">
      <Terms xmlns="http://schemas.microsoft.com/office/infopath/2007/PartnerControls"/>
    </l360261a294540c48d9b0fdee2fb1d22>
    <EIRegion xmlns="db13979b-e751-4565-a77b-71e7edb4f069"/>
    <AvailableOnWebsite xmlns="db13979b-e751-4565-a77b-71e7edb4f069">true</AvailableOnWebsite>
    <EIOrgan xmlns="db13979b-e751-4565-a77b-71e7edb4f069"/>
    <EI_x0020_Event xmlns="db13979b-e751-4565-a77b-71e7edb4f069" xsi:nil="true"/>
    <kd7281ab553349538e0242a0ee89a9e1 xmlns="db13979b-e751-4565-a77b-71e7edb4f069">
      <Terms xmlns="http://schemas.microsoft.com/office/infopath/2007/PartnerControls"/>
    </kd7281ab553349538e0242a0ee89a9e1>
    <i64256cf79b641ea809ba8b9a8069568 xmlns="db13979b-e751-4565-a77b-71e7edb4f069">
      <Terms xmlns="http://schemas.microsoft.com/office/infopath/2007/PartnerControls"/>
    </i64256cf79b641ea809ba8b9a8069568>
    <EITopic xmlns="db13979b-e751-4565-a77b-71e7edb4f069"/>
    <DocumentSource xmlns="db13979b-e751-4565-a77b-71e7edb4f069" xsi:nil="true"/>
    <DocumentLanguage xmlns="db13979b-e751-4565-a77b-71e7edb4f069">English</DocumentLanguage>
    <o79ce48fd8d44e5eaac3fd0fc82a2951 xmlns="db13979b-e751-4565-a77b-71e7edb4f069">
      <Terms xmlns="http://schemas.microsoft.com/office/infopath/2007/PartnerControls"/>
    </o79ce48fd8d44e5eaac3fd0fc82a2951>
    <EITermbaseTaxHTField0 xmlns="db13979b-e751-4565-a77b-71e7edb4f069">
      <Terms xmlns="http://schemas.microsoft.com/office/infopath/2007/PartnerControls"/>
    </EITermbaseTaxHTField0>
    <TaxCatchAll xmlns="db13979b-e751-4565-a77b-71e7edb4f069"/>
    <Date xmlns="db13979b-e751-4565-a77b-71e7edb4f069" xsi:nil="true"/>
    <hd0be951f11940a08013d67eec6505c8 xmlns="db13979b-e751-4565-a77b-71e7edb4f069">
      <Terms xmlns="http://schemas.microsoft.com/office/infopath/2007/PartnerControls"/>
    </hd0be951f11940a08013d67eec6505c8>
  </documentManagement>
</p:properties>
</file>

<file path=customXml/itemProps1.xml><?xml version="1.0" encoding="utf-8"?>
<ds:datastoreItem xmlns:ds="http://schemas.openxmlformats.org/officeDocument/2006/customXml" ds:itemID="{EA3A5BF3-7DE1-49CA-A67B-B54BAF0C6B99}"/>
</file>

<file path=customXml/itemProps2.xml><?xml version="1.0" encoding="utf-8"?>
<ds:datastoreItem xmlns:ds="http://schemas.openxmlformats.org/officeDocument/2006/customXml" ds:itemID="{74A7E885-BAEC-413F-96F2-88E9B0664871}"/>
</file>

<file path=customXml/itemProps3.xml><?xml version="1.0" encoding="utf-8"?>
<ds:datastoreItem xmlns:ds="http://schemas.openxmlformats.org/officeDocument/2006/customXml" ds:itemID="{2A6B120D-C26A-440C-9BCF-065561511D9F}"/>
</file>

<file path=customXml/itemProps4.xml><?xml version="1.0" encoding="utf-8"?>
<ds:datastoreItem xmlns:ds="http://schemas.openxmlformats.org/officeDocument/2006/customXml" ds:itemID="{B11369BD-0563-455B-BFBB-6BBDD143FA97}"/>
</file>

<file path=customXml/itemProps5.xml><?xml version="1.0" encoding="utf-8"?>
<ds:datastoreItem xmlns:ds="http://schemas.openxmlformats.org/officeDocument/2006/customXml" ds:itemID="{60B85B34-3105-4D9E-83B0-E6A2710F70B2}"/>
</file>

<file path=docProps/app.xml><?xml version="1.0" encoding="utf-8"?>
<Properties xmlns="http://schemas.openxmlformats.org/officeDocument/2006/extended-properties" xmlns:vt="http://schemas.openxmlformats.org/officeDocument/2006/docPropsVTypes">
  <Template>Normal</Template>
  <TotalTime>3</TotalTime>
  <Pages>5</Pages>
  <Words>1222</Words>
  <Characters>6722</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Robinson</dc:creator>
  <cp:lastModifiedBy>Sonia Grigt</cp:lastModifiedBy>
  <cp:revision>2</cp:revision>
  <dcterms:created xsi:type="dcterms:W3CDTF">2014-04-03T14:12:00Z</dcterms:created>
  <dcterms:modified xsi:type="dcterms:W3CDTF">2014-04-03T14:12:00Z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-2115198001</vt:i4>
  </property>
  <property fmtid="{D5CDD505-2E9C-101B-9397-08002B2CF9AE}" pid="3" name="_NewReviewCycle">
    <vt:lpwstr/>
  </property>
  <property fmtid="{D5CDD505-2E9C-101B-9397-08002B2CF9AE}" pid="4" name="_EmailSubject">
    <vt:lpwstr>Invitation - 9e Conférence internationale sur l'Enseignement supérieur et la Recherche, 10-12 Novembre 2014, Accra, Ghana</vt:lpwstr>
  </property>
  <property fmtid="{D5CDD505-2E9C-101B-9397-08002B2CF9AE}" pid="5" name="_AuthorEmail">
    <vt:lpwstr>Sonia.Grigt@ei-ie.org</vt:lpwstr>
  </property>
  <property fmtid="{D5CDD505-2E9C-101B-9397-08002B2CF9AE}" pid="6" name="_AuthorEmailDisplayName">
    <vt:lpwstr>Sonia Grigt</vt:lpwstr>
  </property>
  <property fmtid="{D5CDD505-2E9C-101B-9397-08002B2CF9AE}" pid="7" name="_PreviousAdHocReviewCycleID">
    <vt:i4>-1574091978</vt:i4>
  </property>
  <property fmtid="{D5CDD505-2E9C-101B-9397-08002B2CF9AE}" pid="8" name="ContentTypeId">
    <vt:lpwstr>0x010100AA2F8202531E2B479DC903BD7BCD5C3F00E04239BAE3CFF643A8203BF81E96DC51</vt:lpwstr>
  </property>
</Properties>
</file>