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B3" w:rsidRDefault="00C266F4" w:rsidP="00C266F4">
      <w:pPr>
        <w:spacing w:after="0"/>
        <w:jc w:val="center"/>
        <w:rPr>
          <w:rFonts w:asciiTheme="majorHAnsi" w:hAnsiTheme="majorHAnsi"/>
          <w:b/>
          <w:color w:val="675E47" w:themeColor="text2"/>
          <w:sz w:val="36"/>
          <w:szCs w:val="36"/>
        </w:rPr>
      </w:pPr>
      <w:bookmarkStart w:id="0" w:name="_GoBack"/>
      <w:bookmarkEnd w:id="0"/>
      <w:r>
        <w:rPr>
          <w:rFonts w:asciiTheme="majorHAnsi" w:hAnsiTheme="majorHAnsi"/>
          <w:b/>
          <w:color w:val="675E47" w:themeColor="text2"/>
          <w:sz w:val="36"/>
          <w:szCs w:val="36"/>
        </w:rPr>
        <w:t xml:space="preserve">Conferencia Internacional de la IE sobre </w:t>
      </w:r>
    </w:p>
    <w:p w:rsidR="00915533" w:rsidRPr="003842B9" w:rsidRDefault="00C266F4" w:rsidP="00C266F4">
      <w:pPr>
        <w:spacing w:after="0"/>
        <w:jc w:val="center"/>
        <w:rPr>
          <w:rFonts w:asciiTheme="majorHAnsi" w:hAnsiTheme="majorHAnsi"/>
          <w:b/>
          <w:color w:val="675E47" w:themeColor="text2"/>
          <w:sz w:val="36"/>
          <w:szCs w:val="36"/>
        </w:rPr>
      </w:pPr>
      <w:r>
        <w:rPr>
          <w:rFonts w:asciiTheme="majorHAnsi" w:hAnsiTheme="majorHAnsi"/>
          <w:b/>
          <w:color w:val="675E47" w:themeColor="text2"/>
          <w:sz w:val="36"/>
          <w:szCs w:val="36"/>
        </w:rPr>
        <w:t>Educación Superior e Investigación</w:t>
      </w:r>
    </w:p>
    <w:p w:rsidR="00C266F4" w:rsidRPr="003842B9" w:rsidRDefault="00C266F4" w:rsidP="00C266F4">
      <w:pPr>
        <w:spacing w:after="0"/>
        <w:jc w:val="center"/>
        <w:rPr>
          <w:rFonts w:asciiTheme="majorHAnsi" w:hAnsiTheme="majorHAnsi"/>
          <w:b/>
          <w:color w:val="675E47" w:themeColor="text2"/>
          <w:sz w:val="36"/>
          <w:szCs w:val="36"/>
        </w:rPr>
      </w:pPr>
      <w:r>
        <w:rPr>
          <w:rFonts w:asciiTheme="majorHAnsi" w:hAnsiTheme="majorHAnsi"/>
          <w:b/>
          <w:color w:val="675E47" w:themeColor="text2"/>
          <w:sz w:val="36"/>
          <w:szCs w:val="36"/>
        </w:rPr>
        <w:t>Accra, Ghana</w:t>
      </w:r>
    </w:p>
    <w:p w:rsidR="00C266F4" w:rsidRPr="003842B9" w:rsidRDefault="00C266F4" w:rsidP="00C266F4">
      <w:pPr>
        <w:spacing w:after="0"/>
        <w:jc w:val="center"/>
        <w:rPr>
          <w:rFonts w:asciiTheme="majorHAnsi" w:hAnsiTheme="majorHAnsi"/>
          <w:b/>
          <w:color w:val="675E47" w:themeColor="text2"/>
          <w:sz w:val="36"/>
          <w:szCs w:val="36"/>
        </w:rPr>
      </w:pPr>
      <w:r>
        <w:rPr>
          <w:rFonts w:asciiTheme="majorHAnsi" w:hAnsiTheme="majorHAnsi"/>
          <w:b/>
          <w:color w:val="675E47" w:themeColor="text2"/>
          <w:sz w:val="36"/>
          <w:szCs w:val="36"/>
        </w:rPr>
        <w:t>10 a 12 de noviembre de 2014</w:t>
      </w:r>
    </w:p>
    <w:p w:rsidR="00C266F4" w:rsidRDefault="00C266F4" w:rsidP="00C266F4">
      <w:pPr>
        <w:jc w:val="center"/>
        <w:rPr>
          <w:rFonts w:asciiTheme="majorHAnsi" w:hAnsiTheme="majorHAnsi"/>
          <w:b/>
          <w:i/>
        </w:rPr>
      </w:pPr>
      <w:r>
        <w:rPr>
          <w:rFonts w:asciiTheme="majorHAnsi" w:hAnsiTheme="majorHAnsi"/>
          <w:b/>
          <w:i/>
        </w:rPr>
        <w:t xml:space="preserve">Borrador del programa </w:t>
      </w:r>
    </w:p>
    <w:p w:rsidR="000730ED" w:rsidRPr="000730ED" w:rsidRDefault="000730ED" w:rsidP="00C266F4">
      <w:pPr>
        <w:jc w:val="center"/>
        <w:rPr>
          <w:rFonts w:asciiTheme="majorHAnsi" w:hAnsiTheme="majorHAnsi"/>
          <w:b/>
          <w:i/>
        </w:rPr>
      </w:pPr>
    </w:p>
    <w:p w:rsidR="00C266F4" w:rsidRPr="00D80F38" w:rsidRDefault="00C266F4" w:rsidP="00FE23DF">
      <w:pPr>
        <w:shd w:val="clear" w:color="auto" w:fill="FFFFFF" w:themeFill="background1"/>
        <w:ind w:left="720" w:firstLine="720"/>
        <w:rPr>
          <w:rFonts w:asciiTheme="majorHAnsi" w:hAnsiTheme="majorHAnsi"/>
          <w:b/>
          <w:color w:val="B1A089" w:themeColor="accent6"/>
          <w:sz w:val="48"/>
          <w:szCs w:val="48"/>
        </w:rPr>
      </w:pPr>
      <w:r>
        <w:rPr>
          <w:rFonts w:asciiTheme="majorHAnsi" w:hAnsiTheme="majorHAnsi"/>
          <w:b/>
          <w:color w:val="B1A089" w:themeColor="accent6"/>
          <w:sz w:val="48"/>
          <w:szCs w:val="48"/>
        </w:rPr>
        <w:t>Domingo 9 de noviembre</w:t>
      </w:r>
    </w:p>
    <w:p w:rsidR="00C266F4" w:rsidRDefault="0012774C" w:rsidP="00C266F4">
      <w:pPr>
        <w:rPr>
          <w:rFonts w:asciiTheme="majorHAnsi" w:hAnsiTheme="majorHAnsi"/>
        </w:rPr>
      </w:pPr>
      <w:r>
        <w:rPr>
          <w:rFonts w:asciiTheme="majorHAnsi" w:hAnsiTheme="majorHAnsi"/>
        </w:rPr>
        <w:t>13:00 – 17:00</w:t>
      </w:r>
      <w:r>
        <w:tab/>
      </w:r>
      <w:r>
        <w:rPr>
          <w:rFonts w:asciiTheme="majorHAnsi" w:hAnsiTheme="majorHAnsi"/>
          <w:b/>
          <w:color w:val="675E47" w:themeColor="text2"/>
        </w:rPr>
        <w:t xml:space="preserve">Reunión previa a la Conferencia de los sindicatos de la educación superior en </w:t>
      </w:r>
      <w:r w:rsidR="00F31DB3">
        <w:rPr>
          <w:rFonts w:asciiTheme="majorHAnsi" w:hAnsiTheme="majorHAnsi"/>
          <w:b/>
          <w:color w:val="675E47" w:themeColor="text2"/>
        </w:rPr>
        <w:tab/>
      </w:r>
      <w:r w:rsidR="00F31DB3">
        <w:rPr>
          <w:rFonts w:asciiTheme="majorHAnsi" w:hAnsiTheme="majorHAnsi"/>
          <w:b/>
          <w:color w:val="675E47" w:themeColor="text2"/>
        </w:rPr>
        <w:tab/>
      </w:r>
      <w:r w:rsidR="00F31DB3">
        <w:rPr>
          <w:rFonts w:asciiTheme="majorHAnsi" w:hAnsiTheme="majorHAnsi"/>
          <w:b/>
          <w:color w:val="675E47" w:themeColor="text2"/>
        </w:rPr>
        <w:tab/>
      </w:r>
      <w:r>
        <w:rPr>
          <w:rFonts w:asciiTheme="majorHAnsi" w:hAnsiTheme="majorHAnsi"/>
          <w:b/>
          <w:color w:val="675E47" w:themeColor="text2"/>
        </w:rPr>
        <w:t>la región de África</w:t>
      </w:r>
      <w:r>
        <w:br/>
      </w:r>
    </w:p>
    <w:p w:rsidR="00C266F4" w:rsidRPr="00D80F38" w:rsidRDefault="00C266F4" w:rsidP="00FE23DF">
      <w:pPr>
        <w:shd w:val="clear" w:color="auto" w:fill="FFFFFF" w:themeFill="background1"/>
        <w:ind w:left="720" w:firstLine="720"/>
        <w:rPr>
          <w:rFonts w:asciiTheme="majorHAnsi" w:hAnsiTheme="majorHAnsi"/>
          <w:b/>
          <w:color w:val="B1A089" w:themeColor="accent6"/>
          <w:sz w:val="48"/>
          <w:szCs w:val="48"/>
        </w:rPr>
      </w:pPr>
      <w:r>
        <w:rPr>
          <w:rFonts w:asciiTheme="majorHAnsi" w:hAnsiTheme="majorHAnsi"/>
          <w:b/>
          <w:color w:val="B1A089" w:themeColor="accent6"/>
          <w:sz w:val="48"/>
          <w:szCs w:val="48"/>
        </w:rPr>
        <w:t>Lunes 10 de noviembre</w:t>
      </w:r>
    </w:p>
    <w:p w:rsidR="000730ED" w:rsidRDefault="000730ED" w:rsidP="00C266F4">
      <w:pPr>
        <w:rPr>
          <w:rFonts w:asciiTheme="majorHAnsi" w:hAnsiTheme="majorHAnsi"/>
        </w:rPr>
      </w:pPr>
    </w:p>
    <w:p w:rsidR="00C266F4" w:rsidRPr="00A93FD2" w:rsidRDefault="00C266F4" w:rsidP="00C266F4">
      <w:pPr>
        <w:rPr>
          <w:rFonts w:asciiTheme="majorHAnsi" w:hAnsiTheme="majorHAnsi"/>
        </w:rPr>
      </w:pPr>
      <w:r>
        <w:rPr>
          <w:rFonts w:asciiTheme="majorHAnsi" w:hAnsiTheme="majorHAnsi"/>
        </w:rPr>
        <w:t>8:00 – 9:00</w:t>
      </w:r>
      <w:r>
        <w:tab/>
      </w:r>
      <w:r>
        <w:rPr>
          <w:rFonts w:asciiTheme="majorHAnsi" w:hAnsiTheme="majorHAnsi"/>
          <w:b/>
        </w:rPr>
        <w:t>Inscripciones</w:t>
      </w:r>
    </w:p>
    <w:p w:rsidR="00C266F4" w:rsidRDefault="00C266F4" w:rsidP="00D80B35">
      <w:pPr>
        <w:rPr>
          <w:rFonts w:asciiTheme="majorHAnsi" w:hAnsiTheme="majorHAnsi"/>
          <w:b/>
        </w:rPr>
      </w:pPr>
      <w:r>
        <w:rPr>
          <w:rFonts w:asciiTheme="majorHAnsi" w:hAnsiTheme="majorHAnsi"/>
        </w:rPr>
        <w:t>9:00 – 10:30</w:t>
      </w:r>
      <w:r>
        <w:tab/>
      </w:r>
      <w:r>
        <w:rPr>
          <w:rFonts w:asciiTheme="majorHAnsi" w:hAnsiTheme="majorHAnsi"/>
          <w:b/>
          <w:color w:val="675E47" w:themeColor="text2"/>
        </w:rPr>
        <w:t>Bienvenida y ceremonia de inauguración</w:t>
      </w:r>
    </w:p>
    <w:p w:rsidR="00767D2E" w:rsidRPr="00767D2E" w:rsidRDefault="00767D2E" w:rsidP="00D80B35">
      <w:pPr>
        <w:rPr>
          <w:rFonts w:asciiTheme="majorHAnsi" w:hAnsiTheme="majorHAnsi"/>
        </w:rPr>
      </w:pPr>
      <w:r>
        <w:tab/>
      </w:r>
      <w:r>
        <w:tab/>
      </w:r>
      <w:r>
        <w:rPr>
          <w:rFonts w:asciiTheme="majorHAnsi" w:hAnsiTheme="majorHAnsi"/>
        </w:rPr>
        <w:t>Saludos y discurso de apertura</w:t>
      </w:r>
    </w:p>
    <w:p w:rsidR="00C266F4" w:rsidRPr="00A93FD2" w:rsidRDefault="00C266F4" w:rsidP="00C266F4">
      <w:pPr>
        <w:rPr>
          <w:rFonts w:asciiTheme="majorHAnsi" w:hAnsiTheme="majorHAnsi"/>
        </w:rPr>
      </w:pPr>
      <w:r>
        <w:rPr>
          <w:rFonts w:asciiTheme="majorHAnsi" w:hAnsiTheme="majorHAnsi"/>
        </w:rPr>
        <w:t>10:30 – 11:00</w:t>
      </w:r>
      <w:r>
        <w:tab/>
      </w:r>
      <w:r>
        <w:rPr>
          <w:rFonts w:asciiTheme="majorHAnsi" w:hAnsiTheme="majorHAnsi"/>
          <w:b/>
        </w:rPr>
        <w:t>Pausa</w:t>
      </w:r>
    </w:p>
    <w:p w:rsidR="00C266F4" w:rsidRPr="00A93FD2" w:rsidRDefault="00C266F4" w:rsidP="00C266F4">
      <w:pPr>
        <w:rPr>
          <w:rFonts w:asciiTheme="majorHAnsi" w:hAnsiTheme="majorHAnsi"/>
        </w:rPr>
      </w:pPr>
      <w:r>
        <w:rPr>
          <w:rFonts w:asciiTheme="majorHAnsi" w:hAnsiTheme="majorHAnsi"/>
        </w:rPr>
        <w:t xml:space="preserve">11:00 – 12:30 </w:t>
      </w:r>
      <w:r>
        <w:tab/>
      </w:r>
      <w:r>
        <w:rPr>
          <w:rFonts w:asciiTheme="majorHAnsi" w:hAnsiTheme="majorHAnsi"/>
          <w:b/>
        </w:rPr>
        <w:t>Plenario 1</w:t>
      </w:r>
    </w:p>
    <w:p w:rsidR="00C266F4" w:rsidRPr="00705419" w:rsidRDefault="00C266F4" w:rsidP="00C266F4">
      <w:pPr>
        <w:rPr>
          <w:rFonts w:asciiTheme="majorHAnsi" w:hAnsiTheme="majorHAnsi"/>
          <w:b/>
          <w:i/>
          <w:color w:val="675E47" w:themeColor="text2"/>
        </w:rPr>
      </w:pPr>
      <w:r>
        <w:tab/>
      </w:r>
      <w:r>
        <w:tab/>
      </w:r>
      <w:r>
        <w:rPr>
          <w:rFonts w:asciiTheme="majorHAnsi" w:hAnsiTheme="majorHAnsi"/>
          <w:color w:val="675E47" w:themeColor="text2"/>
        </w:rPr>
        <w:t xml:space="preserve"> </w:t>
      </w:r>
      <w:r>
        <w:rPr>
          <w:rFonts w:asciiTheme="majorHAnsi" w:hAnsiTheme="majorHAnsi"/>
          <w:b/>
          <w:i/>
          <w:color w:val="675E47" w:themeColor="text2"/>
        </w:rPr>
        <w:t xml:space="preserve">África en el punto de mira: la Situación de la Educación Superior y la </w:t>
      </w:r>
      <w:r w:rsidR="00F31DB3">
        <w:rPr>
          <w:rFonts w:asciiTheme="majorHAnsi" w:hAnsiTheme="majorHAnsi"/>
          <w:b/>
          <w:i/>
          <w:color w:val="675E47" w:themeColor="text2"/>
        </w:rPr>
        <w:tab/>
      </w:r>
      <w:r w:rsidR="00F31DB3">
        <w:rPr>
          <w:rFonts w:asciiTheme="majorHAnsi" w:hAnsiTheme="majorHAnsi"/>
          <w:b/>
          <w:i/>
          <w:color w:val="675E47" w:themeColor="text2"/>
        </w:rPr>
        <w:tab/>
      </w:r>
      <w:r w:rsidR="00F31DB3">
        <w:rPr>
          <w:rFonts w:asciiTheme="majorHAnsi" w:hAnsiTheme="majorHAnsi"/>
          <w:b/>
          <w:i/>
          <w:color w:val="675E47" w:themeColor="text2"/>
        </w:rPr>
        <w:tab/>
      </w:r>
      <w:r w:rsidR="00F31DB3">
        <w:rPr>
          <w:rFonts w:asciiTheme="majorHAnsi" w:hAnsiTheme="majorHAnsi"/>
          <w:b/>
          <w:i/>
          <w:color w:val="675E47" w:themeColor="text2"/>
        </w:rPr>
        <w:tab/>
      </w:r>
      <w:r>
        <w:rPr>
          <w:rFonts w:asciiTheme="majorHAnsi" w:hAnsiTheme="majorHAnsi"/>
          <w:b/>
          <w:i/>
          <w:color w:val="675E47" w:themeColor="text2"/>
        </w:rPr>
        <w:t>Investigación en la Región</w:t>
      </w:r>
    </w:p>
    <w:p w:rsidR="00E14BEB" w:rsidRPr="00D80B35" w:rsidRDefault="00D80B35" w:rsidP="00D80B35">
      <w:pPr>
        <w:ind w:left="1440"/>
        <w:rPr>
          <w:rFonts w:asciiTheme="majorHAnsi" w:hAnsiTheme="majorHAnsi"/>
        </w:rPr>
      </w:pPr>
      <w:r>
        <w:rPr>
          <w:rFonts w:asciiTheme="majorHAnsi" w:hAnsiTheme="majorHAnsi"/>
        </w:rPr>
        <w:t>El personal de la educación superior y la investigación y sus instituciones en África se enfrentan a enormes dificultades. Los fondos públicos siguen siendo insuficientes, los índices de participación estudiantil bajos, los salarios pobres, la fuga de cerebros sigue siendo un problema grave, la precariedad en los contratos de trabajo es habitual, la libertad académica se viol</w:t>
      </w:r>
      <w:r w:rsidR="00F31DB3">
        <w:rPr>
          <w:rFonts w:asciiTheme="majorHAnsi" w:hAnsiTheme="majorHAnsi"/>
        </w:rPr>
        <w:t>a regularmente en muchos países</w:t>
      </w:r>
      <w:r>
        <w:rPr>
          <w:rFonts w:asciiTheme="majorHAnsi" w:hAnsiTheme="majorHAnsi"/>
        </w:rPr>
        <w:t xml:space="preserve"> y la proliferación de universidades y colegios superiores privados está minando la calidad de la educación. ¿Qué pueden hacer los sindicatos para revertir estas tendencias? ¿Cómo pueden ayudar las asociaciones solidarias entre las afiliadas de la IE a reforzar las capacidades en África?  ¿Cómo podemos sindicar y movilizar a más personal de la educación superior en África? </w:t>
      </w:r>
    </w:p>
    <w:p w:rsidR="00C266F4" w:rsidRPr="00A93FD2" w:rsidRDefault="00C266F4" w:rsidP="00C266F4">
      <w:pPr>
        <w:rPr>
          <w:rFonts w:asciiTheme="majorHAnsi" w:hAnsiTheme="majorHAnsi"/>
        </w:rPr>
      </w:pPr>
      <w:r>
        <w:rPr>
          <w:rFonts w:asciiTheme="majorHAnsi" w:hAnsiTheme="majorHAnsi"/>
        </w:rPr>
        <w:t xml:space="preserve">12:30 – 13:30 </w:t>
      </w:r>
      <w:r>
        <w:tab/>
      </w:r>
      <w:r>
        <w:rPr>
          <w:rFonts w:asciiTheme="majorHAnsi" w:hAnsiTheme="majorHAnsi"/>
          <w:b/>
        </w:rPr>
        <w:t>Comida</w:t>
      </w:r>
    </w:p>
    <w:p w:rsidR="000730ED" w:rsidRDefault="000730ED" w:rsidP="00C266F4">
      <w:pPr>
        <w:rPr>
          <w:rFonts w:asciiTheme="majorHAnsi" w:hAnsiTheme="majorHAnsi"/>
        </w:rPr>
      </w:pPr>
    </w:p>
    <w:p w:rsidR="00FE23DF" w:rsidRDefault="00FE23DF" w:rsidP="00C266F4">
      <w:pPr>
        <w:rPr>
          <w:rFonts w:asciiTheme="majorHAnsi" w:hAnsiTheme="majorHAnsi"/>
        </w:rPr>
      </w:pPr>
    </w:p>
    <w:p w:rsidR="00C266F4" w:rsidRDefault="00727BEB" w:rsidP="00C266F4">
      <w:pPr>
        <w:rPr>
          <w:rFonts w:asciiTheme="majorHAnsi" w:hAnsiTheme="majorHAnsi"/>
        </w:rPr>
      </w:pPr>
      <w:r>
        <w:rPr>
          <w:rFonts w:asciiTheme="majorHAnsi" w:hAnsiTheme="majorHAnsi"/>
        </w:rPr>
        <w:t xml:space="preserve">13:30 – 15:00 </w:t>
      </w:r>
      <w:r>
        <w:tab/>
      </w:r>
      <w:r>
        <w:rPr>
          <w:rFonts w:asciiTheme="majorHAnsi" w:hAnsiTheme="majorHAnsi"/>
          <w:b/>
        </w:rPr>
        <w:t>Plenario 2</w:t>
      </w:r>
    </w:p>
    <w:p w:rsidR="00122534" w:rsidRPr="0012774C" w:rsidRDefault="00122534" w:rsidP="00C266F4">
      <w:pPr>
        <w:rPr>
          <w:rFonts w:asciiTheme="majorHAnsi" w:hAnsiTheme="majorHAnsi"/>
          <w:b/>
          <w:i/>
        </w:rPr>
      </w:pPr>
      <w:r>
        <w:tab/>
      </w:r>
      <w:r>
        <w:tab/>
      </w:r>
      <w:r>
        <w:rPr>
          <w:rFonts w:asciiTheme="majorHAnsi" w:hAnsiTheme="majorHAnsi"/>
          <w:b/>
          <w:i/>
          <w:color w:val="675E47" w:themeColor="text2"/>
        </w:rPr>
        <w:t>Revisión del programa de trabajo de la IE desde 2012</w:t>
      </w:r>
    </w:p>
    <w:p w:rsidR="00B55472" w:rsidRDefault="00B55472" w:rsidP="002C27FC">
      <w:pPr>
        <w:spacing w:after="0"/>
        <w:ind w:left="1440"/>
        <w:rPr>
          <w:rFonts w:asciiTheme="majorHAnsi" w:hAnsiTheme="majorHAnsi"/>
        </w:rPr>
      </w:pPr>
      <w:r>
        <w:rPr>
          <w:rFonts w:asciiTheme="majorHAnsi" w:hAnsiTheme="majorHAnsi"/>
        </w:rPr>
        <w:t>Esta sesión presentará un breve resumen del trabajo de la IE en torno a la educación superior y la investigación desde la última conferencia, incluidos los últimos progresos relacionados con la Evaluación de los Resultados de Aprendizaje en la Enseñanza Superior de la OCDE (AHELO), las negociaciones comerciales internacionales y el papel de la educación superior en la agenda internacional de desarrollo post-2015. Se invitará a los participantes a comentar el programa de trabajo, identificar nuevas prioridades y sugerir vías a través de las cuales las afiliadas puedan trabajar juntas de forma más efectiva para alcanzar los objetivos planteados como preparación para el Congreso Mundial de la IE en 2015.</w:t>
      </w:r>
    </w:p>
    <w:p w:rsidR="00D80B35" w:rsidRPr="00B55472" w:rsidRDefault="00D80B35" w:rsidP="00D80B35">
      <w:pPr>
        <w:spacing w:after="0" w:line="240" w:lineRule="auto"/>
        <w:ind w:left="1440"/>
        <w:rPr>
          <w:rFonts w:asciiTheme="majorHAnsi" w:hAnsiTheme="majorHAnsi"/>
        </w:rPr>
      </w:pPr>
    </w:p>
    <w:p w:rsidR="00C266F4" w:rsidRDefault="00E14BEB" w:rsidP="00C266F4">
      <w:pPr>
        <w:rPr>
          <w:rFonts w:asciiTheme="majorHAnsi" w:hAnsiTheme="majorHAnsi"/>
        </w:rPr>
      </w:pPr>
      <w:r>
        <w:rPr>
          <w:rFonts w:asciiTheme="majorHAnsi" w:hAnsiTheme="majorHAnsi"/>
        </w:rPr>
        <w:t>15:00 – 15:30</w:t>
      </w:r>
      <w:r>
        <w:tab/>
      </w:r>
      <w:r>
        <w:rPr>
          <w:rFonts w:asciiTheme="majorHAnsi" w:hAnsiTheme="majorHAnsi"/>
          <w:b/>
        </w:rPr>
        <w:t>Pausa</w:t>
      </w:r>
    </w:p>
    <w:p w:rsidR="00E14BEB" w:rsidRDefault="00E14BEB" w:rsidP="00C266F4">
      <w:pPr>
        <w:rPr>
          <w:rFonts w:asciiTheme="majorHAnsi" w:hAnsiTheme="majorHAnsi"/>
        </w:rPr>
      </w:pPr>
      <w:r>
        <w:rPr>
          <w:rFonts w:asciiTheme="majorHAnsi" w:hAnsiTheme="majorHAnsi"/>
        </w:rPr>
        <w:t xml:space="preserve">15:30 – 17:00 </w:t>
      </w:r>
      <w:r>
        <w:tab/>
      </w:r>
      <w:r>
        <w:rPr>
          <w:rFonts w:asciiTheme="majorHAnsi" w:hAnsiTheme="majorHAnsi"/>
          <w:b/>
        </w:rPr>
        <w:t>Plenario 3</w:t>
      </w:r>
    </w:p>
    <w:p w:rsidR="00B55472" w:rsidRPr="0012774C" w:rsidRDefault="00B55472" w:rsidP="00C266F4">
      <w:pPr>
        <w:rPr>
          <w:rFonts w:asciiTheme="majorHAnsi" w:hAnsiTheme="majorHAnsi"/>
          <w:b/>
          <w:i/>
        </w:rPr>
      </w:pPr>
      <w:r>
        <w:tab/>
      </w:r>
      <w:r>
        <w:tab/>
      </w:r>
      <w:r>
        <w:rPr>
          <w:rFonts w:asciiTheme="majorHAnsi" w:hAnsiTheme="majorHAnsi"/>
          <w:b/>
          <w:i/>
          <w:color w:val="675E47" w:themeColor="text2"/>
        </w:rPr>
        <w:t xml:space="preserve">Unidos somos más fuertes: construyendo nuestra </w:t>
      </w:r>
      <w:r w:rsidR="00A2609A">
        <w:rPr>
          <w:rFonts w:asciiTheme="majorHAnsi" w:hAnsiTheme="majorHAnsi"/>
          <w:b/>
          <w:i/>
          <w:color w:val="675E47" w:themeColor="text2"/>
        </w:rPr>
        <w:t>afiliación</w:t>
      </w:r>
      <w:r>
        <w:rPr>
          <w:rFonts w:asciiTheme="majorHAnsi" w:hAnsiTheme="majorHAnsi"/>
          <w:b/>
          <w:i/>
          <w:color w:val="675E47" w:themeColor="text2"/>
        </w:rPr>
        <w:t>, comprometiendo a la comunidad</w:t>
      </w:r>
    </w:p>
    <w:p w:rsidR="00B55472" w:rsidRDefault="00D80B35" w:rsidP="00B55472">
      <w:pPr>
        <w:ind w:left="1440"/>
        <w:rPr>
          <w:rFonts w:asciiTheme="majorHAnsi" w:hAnsiTheme="majorHAnsi"/>
        </w:rPr>
      </w:pPr>
      <w:r>
        <w:rPr>
          <w:rFonts w:asciiTheme="majorHAnsi" w:hAnsiTheme="majorHAnsi"/>
        </w:rPr>
        <w:t xml:space="preserve">Muchas afiliadas de la educación superior y la investigación han organizado con éxito campañas para incrementar su </w:t>
      </w:r>
      <w:r w:rsidR="00A2609A">
        <w:rPr>
          <w:rFonts w:asciiTheme="majorHAnsi" w:hAnsiTheme="majorHAnsi"/>
        </w:rPr>
        <w:t xml:space="preserve">número de afiliados </w:t>
      </w:r>
      <w:r>
        <w:rPr>
          <w:rFonts w:asciiTheme="majorHAnsi" w:hAnsiTheme="majorHAnsi"/>
        </w:rPr>
        <w:t xml:space="preserve">y establecer compromisos con grupos estudiantiles y comunitarios.  Sus esfuerzos incluían organizar campañas orientadas a investigadores jóvenes y personal con contratos </w:t>
      </w:r>
      <w:r w:rsidR="00A2609A">
        <w:rPr>
          <w:rFonts w:asciiTheme="majorHAnsi" w:hAnsiTheme="majorHAnsi"/>
        </w:rPr>
        <w:t>temporales</w:t>
      </w:r>
      <w:r>
        <w:rPr>
          <w:rFonts w:asciiTheme="majorHAnsi" w:hAnsiTheme="majorHAnsi"/>
        </w:rPr>
        <w:t>, establecer alianzas y coaliciones de base con la comunidad y promover la igualdad dentro de los sindicatos. Esta sesión se centrará en estudios de casos de estos esfuerzos y debatirá vías a través de las cuales las afiliadas pued</w:t>
      </w:r>
      <w:r w:rsidR="00A2609A">
        <w:rPr>
          <w:rFonts w:asciiTheme="majorHAnsi" w:hAnsiTheme="majorHAnsi"/>
        </w:rPr>
        <w:t>e</w:t>
      </w:r>
      <w:r>
        <w:rPr>
          <w:rFonts w:asciiTheme="majorHAnsi" w:hAnsiTheme="majorHAnsi"/>
        </w:rPr>
        <w:t xml:space="preserve">n construir y comprometer de forma más eficiente a su </w:t>
      </w:r>
      <w:r w:rsidR="00A2609A">
        <w:rPr>
          <w:rFonts w:asciiTheme="majorHAnsi" w:hAnsiTheme="majorHAnsi"/>
        </w:rPr>
        <w:t>afiliación</w:t>
      </w:r>
      <w:r>
        <w:rPr>
          <w:rFonts w:asciiTheme="majorHAnsi" w:hAnsiTheme="majorHAnsi"/>
        </w:rPr>
        <w:t>.</w:t>
      </w:r>
    </w:p>
    <w:p w:rsidR="00675E0D" w:rsidRDefault="00675E0D" w:rsidP="00C266F4">
      <w:pPr>
        <w:rPr>
          <w:rFonts w:asciiTheme="majorHAnsi" w:hAnsiTheme="majorHAnsi"/>
          <w:b/>
          <w:color w:val="675E47" w:themeColor="text2"/>
        </w:rPr>
      </w:pPr>
      <w:r>
        <w:rPr>
          <w:rFonts w:asciiTheme="majorHAnsi" w:hAnsiTheme="majorHAnsi"/>
        </w:rPr>
        <w:t>19:00</w:t>
      </w:r>
      <w:r>
        <w:tab/>
      </w:r>
      <w:r>
        <w:tab/>
      </w:r>
      <w:r>
        <w:rPr>
          <w:rFonts w:asciiTheme="majorHAnsi" w:hAnsiTheme="majorHAnsi"/>
          <w:b/>
          <w:color w:val="675E47" w:themeColor="text2"/>
        </w:rPr>
        <w:t>Recepción y cena de la Conferencia</w:t>
      </w:r>
    </w:p>
    <w:p w:rsidR="00FE23DF" w:rsidRDefault="00FE23DF" w:rsidP="00C266F4">
      <w:pPr>
        <w:rPr>
          <w:rFonts w:asciiTheme="majorHAnsi" w:hAnsiTheme="majorHAnsi"/>
          <w:b/>
          <w:color w:val="675E47" w:themeColor="text2"/>
        </w:rPr>
      </w:pPr>
    </w:p>
    <w:p w:rsidR="00C266F4" w:rsidRPr="00D80F38" w:rsidRDefault="00C266F4" w:rsidP="00FE23DF">
      <w:pPr>
        <w:shd w:val="clear" w:color="auto" w:fill="FFFFFF" w:themeFill="background1"/>
        <w:ind w:left="720" w:firstLine="720"/>
        <w:rPr>
          <w:rFonts w:asciiTheme="majorHAnsi" w:hAnsiTheme="majorHAnsi"/>
          <w:b/>
          <w:color w:val="B1A089" w:themeColor="accent6"/>
          <w:sz w:val="48"/>
          <w:szCs w:val="48"/>
        </w:rPr>
      </w:pPr>
      <w:r>
        <w:rPr>
          <w:rFonts w:asciiTheme="majorHAnsi" w:hAnsiTheme="majorHAnsi"/>
          <w:b/>
          <w:color w:val="B1A089" w:themeColor="accent6"/>
          <w:sz w:val="48"/>
          <w:szCs w:val="48"/>
        </w:rPr>
        <w:t>Martes 11 de noviembre</w:t>
      </w:r>
    </w:p>
    <w:p w:rsidR="00FE23DF" w:rsidRDefault="00FE23DF" w:rsidP="00C266F4">
      <w:pPr>
        <w:rPr>
          <w:rFonts w:asciiTheme="majorHAnsi" w:hAnsiTheme="majorHAnsi"/>
        </w:rPr>
      </w:pPr>
    </w:p>
    <w:p w:rsidR="00722967" w:rsidRDefault="00A93FD2" w:rsidP="00C266F4">
      <w:pPr>
        <w:rPr>
          <w:rFonts w:asciiTheme="majorHAnsi" w:hAnsiTheme="majorHAnsi"/>
        </w:rPr>
      </w:pPr>
      <w:r>
        <w:rPr>
          <w:rFonts w:asciiTheme="majorHAnsi" w:hAnsiTheme="majorHAnsi"/>
        </w:rPr>
        <w:t xml:space="preserve">9:00 – 10:30 </w:t>
      </w:r>
      <w:r>
        <w:tab/>
      </w:r>
      <w:r>
        <w:rPr>
          <w:rFonts w:asciiTheme="majorHAnsi" w:hAnsiTheme="majorHAnsi"/>
          <w:b/>
        </w:rPr>
        <w:t>Plenario 4</w:t>
      </w:r>
    </w:p>
    <w:p w:rsidR="00857FBD" w:rsidRPr="00857FBD" w:rsidRDefault="00722967" w:rsidP="00C266F4">
      <w:pPr>
        <w:rPr>
          <w:rFonts w:asciiTheme="majorHAnsi" w:hAnsiTheme="majorHAnsi"/>
          <w:b/>
        </w:rPr>
      </w:pPr>
      <w:r>
        <w:tab/>
      </w:r>
      <w:r>
        <w:tab/>
      </w:r>
      <w:r>
        <w:rPr>
          <w:rFonts w:asciiTheme="majorHAnsi" w:hAnsiTheme="majorHAnsi"/>
          <w:b/>
          <w:color w:val="675E47" w:themeColor="text2"/>
        </w:rPr>
        <w:t>¿</w:t>
      </w:r>
      <w:r w:rsidR="00A2609A">
        <w:rPr>
          <w:rFonts w:asciiTheme="majorHAnsi" w:hAnsiTheme="majorHAnsi"/>
          <w:b/>
          <w:color w:val="675E47" w:themeColor="text2"/>
        </w:rPr>
        <w:t xml:space="preserve">Instrumento </w:t>
      </w:r>
      <w:r>
        <w:rPr>
          <w:rFonts w:asciiTheme="majorHAnsi" w:hAnsiTheme="majorHAnsi"/>
          <w:b/>
          <w:color w:val="675E47" w:themeColor="text2"/>
        </w:rPr>
        <w:t>publicitario o esperanza? Los MOOC y la integridad del trabajo</w:t>
      </w:r>
      <w:r w:rsidR="00A2609A">
        <w:rPr>
          <w:rFonts w:asciiTheme="majorHAnsi" w:hAnsiTheme="majorHAnsi"/>
          <w:b/>
          <w:color w:val="675E47" w:themeColor="text2"/>
        </w:rPr>
        <w:t xml:space="preserve"> </w:t>
      </w:r>
      <w:r>
        <w:rPr>
          <w:rFonts w:asciiTheme="majorHAnsi" w:hAnsiTheme="majorHAnsi"/>
          <w:b/>
          <w:color w:val="675E47" w:themeColor="text2"/>
        </w:rPr>
        <w:t>académico</w:t>
      </w:r>
    </w:p>
    <w:p w:rsidR="00647F73" w:rsidRPr="00647F73" w:rsidRDefault="00857FBD" w:rsidP="00647F73">
      <w:pPr>
        <w:ind w:left="1440"/>
        <w:rPr>
          <w:rFonts w:asciiTheme="majorHAnsi" w:hAnsiTheme="majorHAnsi"/>
        </w:rPr>
      </w:pPr>
      <w:r>
        <w:rPr>
          <w:rFonts w:asciiTheme="majorHAnsi" w:hAnsiTheme="majorHAnsi"/>
        </w:rPr>
        <w:lastRenderedPageBreak/>
        <w:t>La aparición de las nuevas tecnologías de la comunicación, desde los primeros programas de radio h</w:t>
      </w:r>
      <w:r w:rsidR="00F31DB3">
        <w:rPr>
          <w:rFonts w:asciiTheme="majorHAnsi" w:hAnsiTheme="majorHAnsi"/>
        </w:rPr>
        <w:t>asta la red Internet actual, ha ido acompañada</w:t>
      </w:r>
      <w:r>
        <w:rPr>
          <w:rFonts w:asciiTheme="majorHAnsi" w:hAnsiTheme="majorHAnsi"/>
        </w:rPr>
        <w:t xml:space="preserve"> siempre de quejas sobre cómo estas nuevas herramientas afectarán a la enseñanza tradicional en el aula. La prueba más reciente de ello es el bombo publicitario de los Cursos en Línea Masivos y Abiertos (MOOCs). Algunos partidarios de estos cursos sugieren que su aparición </w:t>
      </w:r>
      <w:r w:rsidR="00A2609A">
        <w:rPr>
          <w:rFonts w:asciiTheme="majorHAnsi" w:hAnsiTheme="majorHAnsi"/>
        </w:rPr>
        <w:t xml:space="preserve">es </w:t>
      </w:r>
      <w:r>
        <w:rPr>
          <w:rFonts w:asciiTheme="majorHAnsi" w:hAnsiTheme="majorHAnsi"/>
        </w:rPr>
        <w:t>un síntoma de la democratización de la educación superior y el final de las instituciones físicas convencionales.  Esta sesión, basada en la declaración provisional sobre los MOOC preparada por un subcomité de afiliadas, examinará los impactos potenciales de los MOOC en el personal de la educación superior y la investigación. ¿Cómo se están utilizando los MOOC en las distintas partes del mundo? ¿Qué implicaciones tienen para los países en desarrollo? ¿Cuáles son los resultados pedagógicos de los MOOC? ¿Qué consecuencias negativas podrían tener? ¿Cómo deberían responder la IE y sus afiliadas a la aparición de los MOOC?</w:t>
      </w:r>
    </w:p>
    <w:p w:rsidR="00C266F4" w:rsidRPr="00A93FD2" w:rsidRDefault="00C266F4" w:rsidP="00C266F4">
      <w:pPr>
        <w:rPr>
          <w:rFonts w:asciiTheme="majorHAnsi" w:hAnsiTheme="majorHAnsi"/>
        </w:rPr>
      </w:pPr>
      <w:r>
        <w:rPr>
          <w:rFonts w:asciiTheme="majorHAnsi" w:hAnsiTheme="majorHAnsi"/>
        </w:rPr>
        <w:t>10:30 – 11:00</w:t>
      </w:r>
      <w:r>
        <w:tab/>
      </w:r>
      <w:r>
        <w:rPr>
          <w:rFonts w:asciiTheme="majorHAnsi" w:hAnsiTheme="majorHAnsi"/>
          <w:b/>
        </w:rPr>
        <w:t>Pausa</w:t>
      </w:r>
    </w:p>
    <w:p w:rsidR="00C266F4" w:rsidRDefault="00C266F4" w:rsidP="00C266F4">
      <w:pPr>
        <w:rPr>
          <w:rFonts w:asciiTheme="majorHAnsi" w:hAnsiTheme="majorHAnsi"/>
        </w:rPr>
      </w:pPr>
      <w:r>
        <w:rPr>
          <w:rFonts w:asciiTheme="majorHAnsi" w:hAnsiTheme="majorHAnsi"/>
        </w:rPr>
        <w:t>11:00 – 12:30</w:t>
      </w:r>
      <w:r>
        <w:tab/>
      </w:r>
      <w:r>
        <w:rPr>
          <w:rFonts w:asciiTheme="majorHAnsi" w:hAnsiTheme="majorHAnsi"/>
          <w:b/>
          <w:color w:val="675E47" w:themeColor="text2"/>
        </w:rPr>
        <w:t>Debates en Grupo Paralelos</w:t>
      </w:r>
    </w:p>
    <w:p w:rsidR="007070DD" w:rsidRPr="003842B9" w:rsidRDefault="007070DD" w:rsidP="007070DD">
      <w:pPr>
        <w:ind w:left="1440"/>
        <w:rPr>
          <w:rFonts w:asciiTheme="majorHAnsi" w:hAnsiTheme="majorHAnsi"/>
          <w:color w:val="2F2B20" w:themeColor="text1"/>
        </w:rPr>
      </w:pPr>
      <w:r>
        <w:rPr>
          <w:rFonts w:asciiTheme="majorHAnsi" w:hAnsiTheme="majorHAnsi"/>
          <w:color w:val="2F2B20" w:themeColor="text1"/>
        </w:rPr>
        <w:t xml:space="preserve">Grupo 1: Internalización y regionalización de la educación superior y la investigación – explorar las posibilidades y las contradicciones </w:t>
      </w:r>
    </w:p>
    <w:p w:rsidR="007070DD" w:rsidRDefault="007070DD" w:rsidP="00DF72F6">
      <w:pPr>
        <w:ind w:left="1440"/>
        <w:rPr>
          <w:rFonts w:asciiTheme="majorHAnsi" w:hAnsiTheme="majorHAnsi"/>
        </w:rPr>
      </w:pPr>
      <w:r>
        <w:rPr>
          <w:rFonts w:asciiTheme="majorHAnsi" w:hAnsiTheme="majorHAnsi"/>
        </w:rPr>
        <w:t xml:space="preserve">Grupo 2: Igualdad en la educación superior y la investigación – crear sindicatos inclusivos </w:t>
      </w:r>
    </w:p>
    <w:p w:rsidR="007070DD" w:rsidRPr="00A93FD2" w:rsidRDefault="007070DD" w:rsidP="00767D2E">
      <w:pPr>
        <w:ind w:left="1440"/>
        <w:rPr>
          <w:rFonts w:asciiTheme="majorHAnsi" w:hAnsiTheme="majorHAnsi"/>
        </w:rPr>
      </w:pPr>
      <w:r>
        <w:rPr>
          <w:rFonts w:asciiTheme="majorHAnsi" w:hAnsiTheme="majorHAnsi"/>
        </w:rPr>
        <w:t xml:space="preserve">Grupo 3: Los MOOC y las nuevas tecnologías – ¿qué </w:t>
      </w:r>
      <w:r w:rsidR="00A2609A">
        <w:rPr>
          <w:rFonts w:asciiTheme="majorHAnsi" w:hAnsiTheme="majorHAnsi"/>
        </w:rPr>
        <w:t>está</w:t>
      </w:r>
      <w:r>
        <w:rPr>
          <w:rFonts w:asciiTheme="majorHAnsi" w:hAnsiTheme="majorHAnsi"/>
        </w:rPr>
        <w:t xml:space="preserve"> en juego para el personal</w:t>
      </w:r>
      <w:r w:rsidR="00A2609A">
        <w:rPr>
          <w:rFonts w:asciiTheme="majorHAnsi" w:hAnsiTheme="majorHAnsi"/>
        </w:rPr>
        <w:t xml:space="preserve"> docente</w:t>
      </w:r>
      <w:r>
        <w:rPr>
          <w:rFonts w:asciiTheme="majorHAnsi" w:hAnsiTheme="majorHAnsi"/>
        </w:rPr>
        <w:t xml:space="preserve">? </w:t>
      </w:r>
    </w:p>
    <w:p w:rsidR="00C266F4" w:rsidRPr="00A93FD2" w:rsidRDefault="00C266F4" w:rsidP="00C266F4">
      <w:pPr>
        <w:rPr>
          <w:rFonts w:asciiTheme="majorHAnsi" w:hAnsiTheme="majorHAnsi"/>
        </w:rPr>
      </w:pPr>
      <w:r>
        <w:rPr>
          <w:rFonts w:asciiTheme="majorHAnsi" w:hAnsiTheme="majorHAnsi"/>
        </w:rPr>
        <w:t xml:space="preserve">12:30 – 13:30 </w:t>
      </w:r>
      <w:r>
        <w:tab/>
      </w:r>
      <w:r>
        <w:rPr>
          <w:rFonts w:asciiTheme="majorHAnsi" w:hAnsiTheme="majorHAnsi"/>
          <w:b/>
        </w:rPr>
        <w:t>Comida</w:t>
      </w:r>
    </w:p>
    <w:p w:rsidR="00C266F4" w:rsidRDefault="00A93FD2" w:rsidP="00C266F4">
      <w:pPr>
        <w:rPr>
          <w:rFonts w:asciiTheme="majorHAnsi" w:hAnsiTheme="majorHAnsi"/>
        </w:rPr>
      </w:pPr>
      <w:r>
        <w:rPr>
          <w:rFonts w:asciiTheme="majorHAnsi" w:hAnsiTheme="majorHAnsi"/>
        </w:rPr>
        <w:t xml:space="preserve">13:30 – 15:00 </w:t>
      </w:r>
      <w:r>
        <w:tab/>
      </w:r>
      <w:r>
        <w:rPr>
          <w:rFonts w:asciiTheme="majorHAnsi" w:hAnsiTheme="majorHAnsi"/>
          <w:b/>
        </w:rPr>
        <w:t>Plenario 5</w:t>
      </w:r>
    </w:p>
    <w:p w:rsidR="00722967" w:rsidRPr="00675E0D" w:rsidRDefault="00722967" w:rsidP="00C266F4">
      <w:pPr>
        <w:rPr>
          <w:rFonts w:asciiTheme="majorHAnsi" w:hAnsiTheme="majorHAnsi"/>
          <w:b/>
        </w:rPr>
      </w:pPr>
      <w:r>
        <w:tab/>
      </w:r>
      <w:r>
        <w:tab/>
      </w:r>
      <w:r>
        <w:rPr>
          <w:rFonts w:asciiTheme="majorHAnsi" w:hAnsiTheme="majorHAnsi"/>
          <w:b/>
          <w:color w:val="675E47" w:themeColor="text2"/>
        </w:rPr>
        <w:t xml:space="preserve">El Futuro de la Enseñanza: Nuevos Problemas para los Sindicatos de la </w:t>
      </w:r>
      <w:r w:rsidR="00F31DB3">
        <w:rPr>
          <w:rFonts w:asciiTheme="majorHAnsi" w:hAnsiTheme="majorHAnsi"/>
          <w:b/>
          <w:color w:val="675E47" w:themeColor="text2"/>
        </w:rPr>
        <w:tab/>
      </w:r>
      <w:r w:rsidR="00F31DB3">
        <w:rPr>
          <w:rFonts w:asciiTheme="majorHAnsi" w:hAnsiTheme="majorHAnsi"/>
          <w:b/>
          <w:color w:val="675E47" w:themeColor="text2"/>
        </w:rPr>
        <w:tab/>
      </w:r>
      <w:r w:rsidR="00F31DB3">
        <w:rPr>
          <w:rFonts w:asciiTheme="majorHAnsi" w:hAnsiTheme="majorHAnsi"/>
          <w:b/>
          <w:color w:val="675E47" w:themeColor="text2"/>
        </w:rPr>
        <w:tab/>
      </w:r>
      <w:r w:rsidR="00F31DB3">
        <w:rPr>
          <w:rFonts w:asciiTheme="majorHAnsi" w:hAnsiTheme="majorHAnsi"/>
          <w:b/>
          <w:color w:val="675E47" w:themeColor="text2"/>
        </w:rPr>
        <w:tab/>
      </w:r>
      <w:r>
        <w:rPr>
          <w:rFonts w:asciiTheme="majorHAnsi" w:hAnsiTheme="majorHAnsi"/>
          <w:b/>
          <w:color w:val="675E47" w:themeColor="text2"/>
        </w:rPr>
        <w:t>Educación Superior</w:t>
      </w:r>
    </w:p>
    <w:p w:rsidR="0015100A" w:rsidRPr="00A93FD2" w:rsidRDefault="00281D29" w:rsidP="00281D29">
      <w:pPr>
        <w:ind w:left="1440"/>
        <w:rPr>
          <w:rFonts w:asciiTheme="majorHAnsi" w:hAnsiTheme="majorHAnsi"/>
        </w:rPr>
      </w:pPr>
      <w:r>
        <w:rPr>
          <w:rFonts w:asciiTheme="majorHAnsi" w:hAnsiTheme="majorHAnsi"/>
        </w:rPr>
        <w:t xml:space="preserve">La situación y la calidad de la enseñanza en la educación superior se encuentran bajo presión en muchos países. Las ratios estudiante-personal aumentan y cada vez </w:t>
      </w:r>
      <w:r w:rsidR="00F31DB3">
        <w:rPr>
          <w:rFonts w:asciiTheme="majorHAnsi" w:hAnsiTheme="majorHAnsi"/>
        </w:rPr>
        <w:t>son</w:t>
      </w:r>
      <w:r>
        <w:rPr>
          <w:rFonts w:asciiTheme="majorHAnsi" w:hAnsiTheme="majorHAnsi"/>
        </w:rPr>
        <w:t xml:space="preserve"> más </w:t>
      </w:r>
      <w:r w:rsidR="00F31DB3">
        <w:rPr>
          <w:rFonts w:asciiTheme="majorHAnsi" w:hAnsiTheme="majorHAnsi"/>
        </w:rPr>
        <w:t xml:space="preserve">las </w:t>
      </w:r>
      <w:r>
        <w:rPr>
          <w:rFonts w:asciiTheme="majorHAnsi" w:hAnsiTheme="majorHAnsi"/>
        </w:rPr>
        <w:t xml:space="preserve">asignaturas en la universidad y </w:t>
      </w:r>
      <w:proofErr w:type="gramStart"/>
      <w:r>
        <w:rPr>
          <w:rFonts w:asciiTheme="majorHAnsi" w:hAnsiTheme="majorHAnsi"/>
        </w:rPr>
        <w:t>los</w:t>
      </w:r>
      <w:proofErr w:type="gramEnd"/>
      <w:r>
        <w:rPr>
          <w:rFonts w:asciiTheme="majorHAnsi" w:hAnsiTheme="majorHAnsi"/>
        </w:rPr>
        <w:t xml:space="preserve"> </w:t>
      </w:r>
      <w:r w:rsidR="004668E4">
        <w:rPr>
          <w:rFonts w:asciiTheme="majorHAnsi" w:hAnsiTheme="majorHAnsi"/>
        </w:rPr>
        <w:t xml:space="preserve">escuelas </w:t>
      </w:r>
      <w:r>
        <w:rPr>
          <w:rFonts w:asciiTheme="majorHAnsi" w:hAnsiTheme="majorHAnsi"/>
        </w:rPr>
        <w:t xml:space="preserve">superiores impartidas por personal con contratos definidos y personal temporal. También hay nuevas demandas de formación docente especializada para el personal académico y mediciones cuantitativas de los resultados de aprendizaje de los estudiantes para, supuestamente, evaluar la efectividad de la enseñanza. Todo lo anterior va </w:t>
      </w:r>
      <w:r w:rsidR="00A80470">
        <w:rPr>
          <w:rFonts w:asciiTheme="majorHAnsi" w:hAnsiTheme="majorHAnsi"/>
        </w:rPr>
        <w:t>en la línea</w:t>
      </w:r>
      <w:r>
        <w:rPr>
          <w:rFonts w:asciiTheme="majorHAnsi" w:hAnsiTheme="majorHAnsi"/>
        </w:rPr>
        <w:t xml:space="preserve"> de las presiones de los empleadores y los gobiernos para desligar completamente la </w:t>
      </w:r>
      <w:r w:rsidR="00F31DB3">
        <w:rPr>
          <w:rFonts w:asciiTheme="majorHAnsi" w:hAnsiTheme="majorHAnsi"/>
        </w:rPr>
        <w:t xml:space="preserve">enseñanza de la investigación. </w:t>
      </w:r>
      <w:r>
        <w:rPr>
          <w:rFonts w:asciiTheme="majorHAnsi" w:hAnsiTheme="majorHAnsi"/>
        </w:rPr>
        <w:t xml:space="preserve">¿Qué implicaciones tienen estos acontecimientos y cómo han respondido las afiliadas a estas presiones? ¿Existe una relación entre la situación laboral del personal y la calidad de la enseñanza? ¿Qué </w:t>
      </w:r>
      <w:r>
        <w:rPr>
          <w:rFonts w:asciiTheme="majorHAnsi" w:hAnsiTheme="majorHAnsi"/>
        </w:rPr>
        <w:lastRenderedPageBreak/>
        <w:t>logros se han alcanzado en materia de negociación colectiva? ¿Qué campañas de defensa se han organizado y qué nivel de éxito han tenido?</w:t>
      </w:r>
    </w:p>
    <w:p w:rsidR="00C266F4" w:rsidRPr="00A93FD2" w:rsidRDefault="00C266F4" w:rsidP="00C266F4">
      <w:pPr>
        <w:rPr>
          <w:rFonts w:asciiTheme="majorHAnsi" w:hAnsiTheme="majorHAnsi"/>
        </w:rPr>
      </w:pPr>
      <w:r>
        <w:rPr>
          <w:rFonts w:asciiTheme="majorHAnsi" w:hAnsiTheme="majorHAnsi"/>
        </w:rPr>
        <w:t>15:00 – 15:30</w:t>
      </w:r>
      <w:r>
        <w:tab/>
      </w:r>
      <w:r>
        <w:rPr>
          <w:rFonts w:asciiTheme="majorHAnsi" w:hAnsiTheme="majorHAnsi"/>
          <w:b/>
        </w:rPr>
        <w:t>Pausa</w:t>
      </w:r>
    </w:p>
    <w:p w:rsidR="00C266F4" w:rsidRDefault="00C266F4" w:rsidP="00C266F4">
      <w:pPr>
        <w:rPr>
          <w:rFonts w:asciiTheme="majorHAnsi" w:hAnsiTheme="majorHAnsi"/>
        </w:rPr>
      </w:pPr>
      <w:r>
        <w:rPr>
          <w:rFonts w:asciiTheme="majorHAnsi" w:hAnsiTheme="majorHAnsi"/>
        </w:rPr>
        <w:t>15:30 – 17:00</w:t>
      </w:r>
      <w:r>
        <w:tab/>
      </w:r>
      <w:r>
        <w:rPr>
          <w:rFonts w:asciiTheme="majorHAnsi" w:hAnsiTheme="majorHAnsi"/>
          <w:b/>
          <w:color w:val="675E47" w:themeColor="text2"/>
        </w:rPr>
        <w:t xml:space="preserve">Debates </w:t>
      </w:r>
      <w:r w:rsidR="00F31DB3">
        <w:rPr>
          <w:rFonts w:asciiTheme="majorHAnsi" w:hAnsiTheme="majorHAnsi"/>
          <w:b/>
          <w:color w:val="675E47" w:themeColor="text2"/>
        </w:rPr>
        <w:t xml:space="preserve">Paralelos </w:t>
      </w:r>
      <w:r>
        <w:rPr>
          <w:rFonts w:asciiTheme="majorHAnsi" w:hAnsiTheme="majorHAnsi"/>
          <w:b/>
          <w:color w:val="675E47" w:themeColor="text2"/>
        </w:rPr>
        <w:t xml:space="preserve">en Grupo </w:t>
      </w:r>
    </w:p>
    <w:p w:rsidR="002C27FC" w:rsidRDefault="002C27FC" w:rsidP="00675E0D">
      <w:pPr>
        <w:ind w:left="1440"/>
        <w:rPr>
          <w:rFonts w:asciiTheme="majorHAnsi" w:hAnsiTheme="majorHAnsi"/>
        </w:rPr>
      </w:pPr>
      <w:r>
        <w:rPr>
          <w:rFonts w:asciiTheme="majorHAnsi" w:hAnsiTheme="majorHAnsi"/>
        </w:rPr>
        <w:t>Grupo 1: Mejorar la calidad de la educación superior -- crear entornos de enseñanza y aprendizaje favorables</w:t>
      </w:r>
    </w:p>
    <w:p w:rsidR="00675E0D" w:rsidRDefault="00675E0D" w:rsidP="00675E0D">
      <w:pPr>
        <w:ind w:left="1440"/>
        <w:rPr>
          <w:rFonts w:asciiTheme="majorHAnsi" w:hAnsiTheme="majorHAnsi"/>
        </w:rPr>
      </w:pPr>
      <w:r>
        <w:rPr>
          <w:rFonts w:asciiTheme="majorHAnsi" w:hAnsiTheme="majorHAnsi"/>
        </w:rPr>
        <w:t>Grupo 2: Cooperación al desarrollo -- promover la solidaridad entre las afiliadas de la educación superior y la investigación</w:t>
      </w:r>
    </w:p>
    <w:p w:rsidR="00675E0D" w:rsidRDefault="00675E0D" w:rsidP="00675E0D">
      <w:pPr>
        <w:ind w:left="1440"/>
        <w:rPr>
          <w:rFonts w:asciiTheme="majorHAnsi" w:hAnsiTheme="majorHAnsi"/>
        </w:rPr>
      </w:pPr>
      <w:r>
        <w:rPr>
          <w:rFonts w:asciiTheme="majorHAnsi" w:hAnsiTheme="majorHAnsi"/>
        </w:rPr>
        <w:t xml:space="preserve">Grupo 3: Evaluación de los resultados de aprendizaje de los estudiantes – ¿resignarse, reformar o resistir? </w:t>
      </w:r>
    </w:p>
    <w:p w:rsidR="00D80F38" w:rsidRDefault="00D80F38" w:rsidP="00D80F38">
      <w:pPr>
        <w:rPr>
          <w:rFonts w:asciiTheme="majorHAnsi" w:hAnsiTheme="majorHAnsi"/>
          <w:b/>
          <w:color w:val="B1A089" w:themeColor="accent6"/>
          <w:sz w:val="48"/>
          <w:szCs w:val="48"/>
        </w:rPr>
      </w:pPr>
    </w:p>
    <w:p w:rsidR="00C266F4" w:rsidRPr="00D80F38" w:rsidRDefault="00C266F4" w:rsidP="00FE23DF">
      <w:pPr>
        <w:ind w:left="720" w:firstLine="720"/>
        <w:rPr>
          <w:rFonts w:asciiTheme="majorHAnsi" w:hAnsiTheme="majorHAnsi"/>
          <w:b/>
          <w:color w:val="B1A089" w:themeColor="accent6"/>
          <w:sz w:val="48"/>
          <w:szCs w:val="48"/>
        </w:rPr>
      </w:pPr>
      <w:r>
        <w:rPr>
          <w:rFonts w:asciiTheme="majorHAnsi" w:hAnsiTheme="majorHAnsi"/>
          <w:b/>
          <w:color w:val="B1A089" w:themeColor="accent6"/>
          <w:sz w:val="48"/>
          <w:szCs w:val="48"/>
        </w:rPr>
        <w:t>Martes 12 de noviembre</w:t>
      </w:r>
    </w:p>
    <w:p w:rsidR="00FE23DF" w:rsidRDefault="00FE23DF" w:rsidP="00C266F4">
      <w:pPr>
        <w:rPr>
          <w:rFonts w:asciiTheme="majorHAnsi" w:hAnsiTheme="majorHAnsi"/>
        </w:rPr>
      </w:pPr>
    </w:p>
    <w:p w:rsidR="000730ED" w:rsidRDefault="00A93FD2" w:rsidP="00C266F4">
      <w:pPr>
        <w:rPr>
          <w:rFonts w:asciiTheme="majorHAnsi" w:hAnsiTheme="majorHAnsi"/>
        </w:rPr>
      </w:pPr>
      <w:r>
        <w:rPr>
          <w:rFonts w:asciiTheme="majorHAnsi" w:hAnsiTheme="majorHAnsi"/>
        </w:rPr>
        <w:t xml:space="preserve">9:00 – 10:30 </w:t>
      </w:r>
      <w:r>
        <w:tab/>
      </w:r>
      <w:r>
        <w:rPr>
          <w:rFonts w:asciiTheme="majorHAnsi" w:hAnsiTheme="majorHAnsi"/>
          <w:b/>
        </w:rPr>
        <w:t>Plenario 6</w:t>
      </w:r>
    </w:p>
    <w:p w:rsidR="00C266F4" w:rsidRPr="002C27FC" w:rsidRDefault="00727BEB" w:rsidP="000730ED">
      <w:pPr>
        <w:ind w:left="720" w:firstLine="720"/>
        <w:rPr>
          <w:rFonts w:asciiTheme="majorHAnsi" w:hAnsiTheme="majorHAnsi"/>
          <w:b/>
        </w:rPr>
      </w:pPr>
      <w:r>
        <w:rPr>
          <w:rFonts w:asciiTheme="majorHAnsi" w:hAnsiTheme="majorHAnsi"/>
          <w:b/>
          <w:color w:val="675E47" w:themeColor="text2"/>
        </w:rPr>
        <w:t xml:space="preserve">Oponerse a la Privatización: ¿Por qué la educación superior y la investigación </w:t>
      </w:r>
      <w:r w:rsidR="00F31DB3">
        <w:rPr>
          <w:rFonts w:asciiTheme="majorHAnsi" w:hAnsiTheme="majorHAnsi"/>
          <w:b/>
          <w:color w:val="675E47" w:themeColor="text2"/>
        </w:rPr>
        <w:tab/>
      </w:r>
      <w:r>
        <w:rPr>
          <w:rFonts w:asciiTheme="majorHAnsi" w:hAnsiTheme="majorHAnsi"/>
          <w:b/>
          <w:i/>
          <w:color w:val="675E47" w:themeColor="text2"/>
        </w:rPr>
        <w:t xml:space="preserve">públicas </w:t>
      </w:r>
      <w:r>
        <w:rPr>
          <w:rFonts w:asciiTheme="majorHAnsi" w:hAnsiTheme="majorHAnsi"/>
          <w:b/>
          <w:color w:val="675E47" w:themeColor="text2"/>
        </w:rPr>
        <w:t>importan?</w:t>
      </w:r>
    </w:p>
    <w:p w:rsidR="00675E0D" w:rsidRDefault="00DF72F6" w:rsidP="002C27FC">
      <w:pPr>
        <w:ind w:left="1440"/>
        <w:rPr>
          <w:rFonts w:asciiTheme="majorHAnsi" w:hAnsiTheme="majorHAnsi"/>
        </w:rPr>
      </w:pPr>
      <w:r>
        <w:rPr>
          <w:rFonts w:asciiTheme="majorHAnsi" w:hAnsiTheme="majorHAnsi"/>
        </w:rPr>
        <w:t>El aumento de las instituciones de educación superior privadas, la creciente dependencia de much</w:t>
      </w:r>
      <w:r w:rsidR="00A80470">
        <w:rPr>
          <w:rFonts w:asciiTheme="majorHAnsi" w:hAnsiTheme="majorHAnsi"/>
        </w:rPr>
        <w:t xml:space="preserve">as </w:t>
      </w:r>
      <w:proofErr w:type="spellStart"/>
      <w:r w:rsidR="00A80470">
        <w:rPr>
          <w:rFonts w:asciiTheme="majorHAnsi" w:hAnsiTheme="majorHAnsi"/>
        </w:rPr>
        <w:t>escuelas</w:t>
      </w:r>
      <w:r>
        <w:rPr>
          <w:rFonts w:asciiTheme="majorHAnsi" w:hAnsiTheme="majorHAnsi"/>
        </w:rPr>
        <w:t>superiores</w:t>
      </w:r>
      <w:proofErr w:type="spellEnd"/>
      <w:r>
        <w:rPr>
          <w:rFonts w:asciiTheme="majorHAnsi" w:hAnsiTheme="majorHAnsi"/>
        </w:rPr>
        <w:t xml:space="preserve"> y universidades de </w:t>
      </w:r>
      <w:r w:rsidR="00A80470">
        <w:rPr>
          <w:rFonts w:asciiTheme="majorHAnsi" w:hAnsiTheme="majorHAnsi"/>
        </w:rPr>
        <w:t xml:space="preserve">las </w:t>
      </w:r>
      <w:proofErr w:type="spellStart"/>
      <w:r w:rsidR="00A80470">
        <w:rPr>
          <w:rFonts w:asciiTheme="majorHAnsi" w:hAnsiTheme="majorHAnsi"/>
        </w:rPr>
        <w:t>aportaciones</w:t>
      </w:r>
      <w:r>
        <w:rPr>
          <w:rFonts w:asciiTheme="majorHAnsi" w:hAnsiTheme="majorHAnsi"/>
        </w:rPr>
        <w:t>privad</w:t>
      </w:r>
      <w:r w:rsidR="00A80470">
        <w:rPr>
          <w:rFonts w:asciiTheme="majorHAnsi" w:hAnsiTheme="majorHAnsi"/>
        </w:rPr>
        <w:t>a</w:t>
      </w:r>
      <w:r>
        <w:rPr>
          <w:rFonts w:asciiTheme="majorHAnsi" w:hAnsiTheme="majorHAnsi"/>
        </w:rPr>
        <w:t>s</w:t>
      </w:r>
      <w:proofErr w:type="spellEnd"/>
      <w:r>
        <w:rPr>
          <w:rFonts w:asciiTheme="majorHAnsi" w:hAnsiTheme="majorHAnsi"/>
        </w:rPr>
        <w:t xml:space="preserve"> para su financiación, la influencia de los donantes privados y el incremento en los fondos para investigación patrocinados por el sector industrial representan serias amenazas para la calidad, la accesibilidad y la integridad de la educación superior y la investigación. ¿De qué modo están moldeando las fuerzas privadas la educación superior y la investigación en las distintas partes del mundo? ¿Quiénes son los actores claves y qué sabemos de ellos? ¿Qué implicaciones tiene este proceso de privatización </w:t>
      </w:r>
      <w:r w:rsidR="0065782A">
        <w:rPr>
          <w:rFonts w:asciiTheme="majorHAnsi" w:hAnsiTheme="majorHAnsi"/>
        </w:rPr>
        <w:t xml:space="preserve">sobre </w:t>
      </w:r>
      <w:r>
        <w:rPr>
          <w:rFonts w:asciiTheme="majorHAnsi" w:hAnsiTheme="majorHAnsi"/>
        </w:rPr>
        <w:t xml:space="preserve">la libertad académica, la integridad de la enseñanza y la investigación, y </w:t>
      </w:r>
      <w:r w:rsidR="0065782A">
        <w:rPr>
          <w:rFonts w:asciiTheme="majorHAnsi" w:hAnsiTheme="majorHAnsi"/>
        </w:rPr>
        <w:t xml:space="preserve">sobre </w:t>
      </w:r>
      <w:r>
        <w:rPr>
          <w:rFonts w:asciiTheme="majorHAnsi" w:hAnsiTheme="majorHAnsi"/>
        </w:rPr>
        <w:t>la capacidad de la educación superior y la investigación para ayudar a encontrar soluciones a los problemas y</w:t>
      </w:r>
      <w:r w:rsidR="0065782A">
        <w:rPr>
          <w:rFonts w:asciiTheme="majorHAnsi" w:hAnsiTheme="majorHAnsi"/>
        </w:rPr>
        <w:t xml:space="preserve"> a</w:t>
      </w:r>
      <w:r>
        <w:rPr>
          <w:rFonts w:asciiTheme="majorHAnsi" w:hAnsiTheme="majorHAnsi"/>
        </w:rPr>
        <w:t xml:space="preserve"> las urgencias sociales y medioambientales actuales y emergentes? ¿Qué están haciendo las afiliadas y qué pueden hacer juntas para hacer retroceder las fuerzas de la privatización? </w:t>
      </w:r>
    </w:p>
    <w:p w:rsidR="00C266F4" w:rsidRPr="00A93FD2" w:rsidRDefault="00C266F4" w:rsidP="00C266F4">
      <w:pPr>
        <w:rPr>
          <w:rFonts w:asciiTheme="majorHAnsi" w:hAnsiTheme="majorHAnsi"/>
        </w:rPr>
      </w:pPr>
      <w:r>
        <w:rPr>
          <w:rFonts w:asciiTheme="majorHAnsi" w:hAnsiTheme="majorHAnsi"/>
        </w:rPr>
        <w:t>10:30 – 11:00</w:t>
      </w:r>
      <w:r>
        <w:tab/>
      </w:r>
      <w:r>
        <w:rPr>
          <w:rFonts w:asciiTheme="majorHAnsi" w:hAnsiTheme="majorHAnsi"/>
          <w:b/>
        </w:rPr>
        <w:t>Pausa</w:t>
      </w:r>
    </w:p>
    <w:p w:rsidR="000730ED" w:rsidRDefault="00C266F4" w:rsidP="00C266F4">
      <w:pPr>
        <w:rPr>
          <w:rFonts w:asciiTheme="majorHAnsi" w:hAnsiTheme="majorHAnsi"/>
        </w:rPr>
      </w:pPr>
      <w:r>
        <w:rPr>
          <w:rFonts w:asciiTheme="majorHAnsi" w:hAnsiTheme="majorHAnsi"/>
        </w:rPr>
        <w:t xml:space="preserve">11:00 – 12:00 </w:t>
      </w:r>
      <w:r>
        <w:tab/>
      </w:r>
      <w:r>
        <w:rPr>
          <w:rFonts w:asciiTheme="majorHAnsi" w:hAnsiTheme="majorHAnsi"/>
          <w:b/>
        </w:rPr>
        <w:t>Plenario 7</w:t>
      </w:r>
    </w:p>
    <w:p w:rsidR="00C266F4" w:rsidRPr="00A93FD2" w:rsidRDefault="00C266F4" w:rsidP="000730ED">
      <w:pPr>
        <w:ind w:left="720" w:firstLine="720"/>
        <w:rPr>
          <w:rFonts w:asciiTheme="majorHAnsi" w:hAnsiTheme="majorHAnsi"/>
        </w:rPr>
      </w:pPr>
      <w:r>
        <w:rPr>
          <w:rFonts w:asciiTheme="majorHAnsi" w:hAnsiTheme="majorHAnsi"/>
          <w:b/>
          <w:color w:val="675E47" w:themeColor="text2"/>
        </w:rPr>
        <w:lastRenderedPageBreak/>
        <w:t>Informes de los debates paralelos en grupo</w:t>
      </w:r>
    </w:p>
    <w:p w:rsidR="000730ED" w:rsidRDefault="00C266F4" w:rsidP="00C266F4">
      <w:pPr>
        <w:rPr>
          <w:rFonts w:asciiTheme="majorHAnsi" w:hAnsiTheme="majorHAnsi"/>
        </w:rPr>
      </w:pPr>
      <w:r>
        <w:rPr>
          <w:rFonts w:asciiTheme="majorHAnsi" w:hAnsiTheme="majorHAnsi"/>
        </w:rPr>
        <w:t xml:space="preserve">12:00 – 12:30 </w:t>
      </w:r>
      <w:r>
        <w:tab/>
      </w:r>
      <w:r>
        <w:rPr>
          <w:rFonts w:asciiTheme="majorHAnsi" w:hAnsiTheme="majorHAnsi"/>
          <w:b/>
        </w:rPr>
        <w:t>Plenario 8</w:t>
      </w:r>
    </w:p>
    <w:p w:rsidR="00C266F4" w:rsidRPr="00A93FD2" w:rsidRDefault="00C266F4" w:rsidP="000730ED">
      <w:pPr>
        <w:ind w:left="720" w:firstLine="720"/>
        <w:rPr>
          <w:rFonts w:asciiTheme="majorHAnsi" w:hAnsiTheme="majorHAnsi"/>
        </w:rPr>
      </w:pPr>
      <w:r>
        <w:rPr>
          <w:rFonts w:asciiTheme="majorHAnsi" w:hAnsiTheme="majorHAnsi"/>
          <w:b/>
          <w:color w:val="675E47" w:themeColor="text2"/>
        </w:rPr>
        <w:t>Sesión de Clausura</w:t>
      </w:r>
    </w:p>
    <w:p w:rsidR="00C266F4" w:rsidRPr="00A93FD2" w:rsidRDefault="00C266F4" w:rsidP="00C266F4">
      <w:pPr>
        <w:rPr>
          <w:rFonts w:asciiTheme="majorHAnsi" w:hAnsiTheme="majorHAnsi"/>
          <w:i/>
        </w:rPr>
      </w:pPr>
      <w:r>
        <w:tab/>
      </w:r>
      <w:r>
        <w:tab/>
      </w:r>
      <w:r>
        <w:rPr>
          <w:rFonts w:asciiTheme="majorHAnsi" w:hAnsiTheme="majorHAnsi"/>
          <w:i/>
        </w:rPr>
        <w:t>Adopción del informe y las recomendaciones de la conferencia</w:t>
      </w:r>
    </w:p>
    <w:p w:rsidR="00C266F4" w:rsidRDefault="00E41CE4" w:rsidP="00C266F4">
      <w:pPr>
        <w:rPr>
          <w:rFonts w:asciiTheme="majorHAnsi" w:hAnsiTheme="majorHAnsi"/>
        </w:rPr>
      </w:pPr>
      <w:r>
        <w:rPr>
          <w:rFonts w:asciiTheme="majorHAnsi" w:hAnsiTheme="majorHAnsi"/>
        </w:rPr>
        <w:t xml:space="preserve">12:30 – 13:30 </w:t>
      </w:r>
      <w:r>
        <w:tab/>
      </w:r>
      <w:r>
        <w:rPr>
          <w:rFonts w:asciiTheme="majorHAnsi" w:hAnsiTheme="majorHAnsi"/>
          <w:b/>
        </w:rPr>
        <w:t>Comida</w:t>
      </w:r>
    </w:p>
    <w:p w:rsidR="00C266F4" w:rsidRPr="00A93FD2" w:rsidRDefault="00E41CE4" w:rsidP="00767D2E">
      <w:pPr>
        <w:rPr>
          <w:rFonts w:asciiTheme="majorHAnsi" w:hAnsiTheme="majorHAnsi"/>
        </w:rPr>
      </w:pPr>
      <w:r>
        <w:rPr>
          <w:rFonts w:asciiTheme="majorHAnsi" w:hAnsiTheme="majorHAnsi"/>
        </w:rPr>
        <w:t>13:30 – 16:30</w:t>
      </w:r>
      <w:r>
        <w:tab/>
      </w:r>
      <w:r>
        <w:rPr>
          <w:rFonts w:asciiTheme="majorHAnsi" w:hAnsiTheme="majorHAnsi"/>
        </w:rPr>
        <w:t>Visita a la Universidad de Ghana (opcional)</w:t>
      </w:r>
      <w:r>
        <w:rPr>
          <w:rStyle w:val="FootnoteReference"/>
          <w:rFonts w:asciiTheme="majorHAnsi" w:hAnsiTheme="majorHAnsi"/>
        </w:rPr>
        <w:footnoteReference w:id="1"/>
      </w:r>
    </w:p>
    <w:sectPr w:rsidR="00C266F4" w:rsidRPr="00A93FD2" w:rsidSect="00B8649B">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1E" w:rsidRDefault="00B9151E" w:rsidP="00705419">
      <w:pPr>
        <w:spacing w:after="0" w:line="240" w:lineRule="auto"/>
      </w:pPr>
      <w:r>
        <w:separator/>
      </w:r>
    </w:p>
  </w:endnote>
  <w:endnote w:type="continuationSeparator" w:id="0">
    <w:p w:rsidR="00B9151E" w:rsidRDefault="00B9151E" w:rsidP="0070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1E" w:rsidRDefault="00B9151E" w:rsidP="00705419">
      <w:pPr>
        <w:spacing w:after="0" w:line="240" w:lineRule="auto"/>
      </w:pPr>
      <w:r>
        <w:separator/>
      </w:r>
    </w:p>
  </w:footnote>
  <w:footnote w:type="continuationSeparator" w:id="0">
    <w:p w:rsidR="00B9151E" w:rsidRDefault="00B9151E" w:rsidP="00705419">
      <w:pPr>
        <w:spacing w:after="0" w:line="240" w:lineRule="auto"/>
      </w:pPr>
      <w:r>
        <w:continuationSeparator/>
      </w:r>
    </w:p>
  </w:footnote>
  <w:footnote w:id="1">
    <w:p w:rsidR="00705419" w:rsidRPr="00705419" w:rsidRDefault="00705419">
      <w:pPr>
        <w:pStyle w:val="FootnoteText"/>
      </w:pPr>
      <w:r>
        <w:rPr>
          <w:rStyle w:val="FootnoteReference"/>
        </w:rPr>
        <w:footnoteRef/>
      </w:r>
      <w:r>
        <w:t xml:space="preserve"> </w:t>
      </w:r>
      <w:r>
        <w:rPr>
          <w:i/>
        </w:rPr>
        <w:t>Provisional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07E"/>
    <w:multiLevelType w:val="hybridMultilevel"/>
    <w:tmpl w:val="18165D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F4"/>
    <w:rsid w:val="000363E5"/>
    <w:rsid w:val="000730ED"/>
    <w:rsid w:val="00122534"/>
    <w:rsid w:val="0012774C"/>
    <w:rsid w:val="0015100A"/>
    <w:rsid w:val="00281D29"/>
    <w:rsid w:val="002C27FC"/>
    <w:rsid w:val="003842B9"/>
    <w:rsid w:val="00442197"/>
    <w:rsid w:val="004668E4"/>
    <w:rsid w:val="0053109C"/>
    <w:rsid w:val="005C3345"/>
    <w:rsid w:val="00647F73"/>
    <w:rsid w:val="0065782A"/>
    <w:rsid w:val="00675E0D"/>
    <w:rsid w:val="00705419"/>
    <w:rsid w:val="007070DD"/>
    <w:rsid w:val="00722967"/>
    <w:rsid w:val="00727BEB"/>
    <w:rsid w:val="00767D2E"/>
    <w:rsid w:val="007A2E23"/>
    <w:rsid w:val="00857FBD"/>
    <w:rsid w:val="00894FA6"/>
    <w:rsid w:val="00915533"/>
    <w:rsid w:val="00994AD4"/>
    <w:rsid w:val="00A068D1"/>
    <w:rsid w:val="00A2609A"/>
    <w:rsid w:val="00A80470"/>
    <w:rsid w:val="00A93FD2"/>
    <w:rsid w:val="00AD1330"/>
    <w:rsid w:val="00B55472"/>
    <w:rsid w:val="00B8649B"/>
    <w:rsid w:val="00B9151E"/>
    <w:rsid w:val="00BE5E49"/>
    <w:rsid w:val="00C0748C"/>
    <w:rsid w:val="00C266F4"/>
    <w:rsid w:val="00D80B35"/>
    <w:rsid w:val="00D80F38"/>
    <w:rsid w:val="00DF72F6"/>
    <w:rsid w:val="00E14BEB"/>
    <w:rsid w:val="00E41CE4"/>
    <w:rsid w:val="00F12CBC"/>
    <w:rsid w:val="00F31DB3"/>
    <w:rsid w:val="00F41EC1"/>
    <w:rsid w:val="00F5410E"/>
    <w:rsid w:val="00FE2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472"/>
    <w:pPr>
      <w:ind w:left="720"/>
      <w:contextualSpacing/>
    </w:pPr>
  </w:style>
  <w:style w:type="paragraph" w:styleId="FootnoteText">
    <w:name w:val="footnote text"/>
    <w:basedOn w:val="Normal"/>
    <w:link w:val="FootnoteTextChar"/>
    <w:uiPriority w:val="99"/>
    <w:semiHidden/>
    <w:unhideWhenUsed/>
    <w:rsid w:val="007054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419"/>
    <w:rPr>
      <w:sz w:val="20"/>
      <w:szCs w:val="20"/>
    </w:rPr>
  </w:style>
  <w:style w:type="character" w:styleId="FootnoteReference">
    <w:name w:val="footnote reference"/>
    <w:basedOn w:val="DefaultParagraphFont"/>
    <w:uiPriority w:val="99"/>
    <w:semiHidden/>
    <w:unhideWhenUsed/>
    <w:rsid w:val="00705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472"/>
    <w:pPr>
      <w:ind w:left="720"/>
      <w:contextualSpacing/>
    </w:pPr>
  </w:style>
  <w:style w:type="paragraph" w:styleId="FootnoteText">
    <w:name w:val="footnote text"/>
    <w:basedOn w:val="Normal"/>
    <w:link w:val="FootnoteTextChar"/>
    <w:uiPriority w:val="99"/>
    <w:semiHidden/>
    <w:unhideWhenUsed/>
    <w:rsid w:val="007054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419"/>
    <w:rPr>
      <w:sz w:val="20"/>
      <w:szCs w:val="20"/>
    </w:rPr>
  </w:style>
  <w:style w:type="character" w:styleId="FootnoteReference">
    <w:name w:val="footnote reference"/>
    <w:basedOn w:val="DefaultParagraphFont"/>
    <w:uiPriority w:val="99"/>
    <w:semiHidden/>
    <w:unhideWhenUsed/>
    <w:rsid w:val="00705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IUnit xmlns="db13979b-e751-4565-a77b-71e7edb4f069"/>
    <l360261a294540c48d9b0fdee2fb1d22 xmlns="db13979b-e751-4565-a77b-71e7edb4f069">
      <Terms xmlns="http://schemas.microsoft.com/office/infopath/2007/PartnerControls"/>
    </l360261a294540c48d9b0fdee2fb1d22>
    <EIRegion xmlns="db13979b-e751-4565-a77b-71e7edb4f069"/>
    <AvailableOnWebsite xmlns="db13979b-e751-4565-a77b-71e7edb4f069">true</AvailableOnWebsite>
    <EIOrgan xmlns="db13979b-e751-4565-a77b-71e7edb4f069"/>
    <EI_x0020_Event xmlns="db13979b-e751-4565-a77b-71e7edb4f069" xsi:nil="true"/>
    <kd7281ab553349538e0242a0ee89a9e1 xmlns="db13979b-e751-4565-a77b-71e7edb4f069">
      <Terms xmlns="http://schemas.microsoft.com/office/infopath/2007/PartnerControls"/>
    </kd7281ab553349538e0242a0ee89a9e1>
    <i64256cf79b641ea809ba8b9a8069568 xmlns="db13979b-e751-4565-a77b-71e7edb4f069">
      <Terms xmlns="http://schemas.microsoft.com/office/infopath/2007/PartnerControls"/>
    </i64256cf79b641ea809ba8b9a8069568>
    <EITopic xmlns="db13979b-e751-4565-a77b-71e7edb4f069"/>
    <DocumentSource xmlns="db13979b-e751-4565-a77b-71e7edb4f069" xsi:nil="true"/>
    <DocumentLanguage xmlns="db13979b-e751-4565-a77b-71e7edb4f069">English</DocumentLanguage>
    <o79ce48fd8d44e5eaac3fd0fc82a2951 xmlns="db13979b-e751-4565-a77b-71e7edb4f069">
      <Terms xmlns="http://schemas.microsoft.com/office/infopath/2007/PartnerControls"/>
    </o79ce48fd8d44e5eaac3fd0fc82a2951>
    <EITermbaseTaxHTField0 xmlns="db13979b-e751-4565-a77b-71e7edb4f069">
      <Terms xmlns="http://schemas.microsoft.com/office/infopath/2007/PartnerControls"/>
    </EITermbaseTaxHTField0>
    <TaxCatchAll xmlns="db13979b-e751-4565-a77b-71e7edb4f069"/>
    <Date xmlns="db13979b-e751-4565-a77b-71e7edb4f069" xsi:nil="true"/>
    <hd0be951f11940a08013d67eec6505c8 xmlns="db13979b-e751-4565-a77b-71e7edb4f069">
      <Terms xmlns="http://schemas.microsoft.com/office/infopath/2007/PartnerControls"/>
    </hd0be951f11940a08013d67eec6505c8>
  </documentManagement>
</p:properties>
</file>

<file path=customXml/itemProps1.xml><?xml version="1.0" encoding="utf-8"?>
<ds:datastoreItem xmlns:ds="http://schemas.openxmlformats.org/officeDocument/2006/customXml" ds:itemID="{83992660-0776-4700-94BF-E2B71304F5BD}"/>
</file>

<file path=customXml/itemProps2.xml><?xml version="1.0" encoding="utf-8"?>
<ds:datastoreItem xmlns:ds="http://schemas.openxmlformats.org/officeDocument/2006/customXml" ds:itemID="{A47C8724-9B6D-45BF-8ED3-9C90E345FFEB}"/>
</file>

<file path=customXml/itemProps3.xml><?xml version="1.0" encoding="utf-8"?>
<ds:datastoreItem xmlns:ds="http://schemas.openxmlformats.org/officeDocument/2006/customXml" ds:itemID="{9F995689-508A-44A5-AD41-1BEE680C66FB}"/>
</file>

<file path=customXml/itemProps4.xml><?xml version="1.0" encoding="utf-8"?>
<ds:datastoreItem xmlns:ds="http://schemas.openxmlformats.org/officeDocument/2006/customXml" ds:itemID="{6B5C479D-F9DD-4B98-8511-ECF876D0315B}"/>
</file>

<file path=customXml/itemProps5.xml><?xml version="1.0" encoding="utf-8"?>
<ds:datastoreItem xmlns:ds="http://schemas.openxmlformats.org/officeDocument/2006/customXml" ds:itemID="{C14FB108-25A5-4ECA-A71B-62F2C28BAC62}"/>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Sonia Grigt</cp:lastModifiedBy>
  <cp:revision>2</cp:revision>
  <dcterms:created xsi:type="dcterms:W3CDTF">2014-04-10T10:31:00Z</dcterms:created>
  <dcterms:modified xsi:type="dcterms:W3CDTF">2014-04-10T10:31:00Z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1231470120</vt:i4>
  </property>
  <property fmtid="{D5CDD505-2E9C-101B-9397-08002B2CF9AE}" pid="4" name="_EmailSubject">
    <vt:lpwstr>Invitación - 9ª Conferencia Internacional de Enseñanza Superior e Investigación, 10-12 de Noviembre de 2014, Accra, Ghana</vt:lpwstr>
  </property>
  <property fmtid="{D5CDD505-2E9C-101B-9397-08002B2CF9AE}" pid="5" name="_AuthorEmail">
    <vt:lpwstr>Sonia.Grigt@ei-ie.org</vt:lpwstr>
  </property>
  <property fmtid="{D5CDD505-2E9C-101B-9397-08002B2CF9AE}" pid="6" name="_AuthorEmailDisplayName">
    <vt:lpwstr>Sonia Grigt</vt:lpwstr>
  </property>
  <property fmtid="{D5CDD505-2E9C-101B-9397-08002B2CF9AE}" pid="8" name="_PreviousAdHocReviewCycleID">
    <vt:i4>-1940865557</vt:i4>
  </property>
  <property fmtid="{D5CDD505-2E9C-101B-9397-08002B2CF9AE}" pid="9" name="ContentTypeId">
    <vt:lpwstr>0x010100AA2F8202531E2B479DC903BD7BCD5C3F00E04239BAE3CFF643A8203BF81E96DC51</vt:lpwstr>
  </property>
</Properties>
</file>