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D172" w14:textId="35543A31" w:rsidR="00596913" w:rsidRPr="007C7179" w:rsidRDefault="00596913" w:rsidP="007C7179">
      <w:pPr>
        <w:keepNext/>
        <w:autoSpaceDE w:val="0"/>
        <w:autoSpaceDN w:val="0"/>
        <w:outlineLvl w:val="3"/>
        <w:rPr>
          <w:rFonts w:ascii="Tahoma" w:hAnsi="Tahoma" w:cs="Tahoma"/>
          <w:b/>
          <w:bCs/>
          <w:sz w:val="56"/>
          <w:szCs w:val="56"/>
          <w:lang w:val="x-none" w:eastAsia="en-GB"/>
        </w:rPr>
      </w:pPr>
      <w:r w:rsidRPr="007C7179">
        <w:rPr>
          <w:rFonts w:ascii="Tahoma" w:hAnsi="Tahoma" w:cs="Tahoma"/>
          <w:b/>
          <w:bCs/>
          <w:sz w:val="56"/>
          <w:szCs w:val="56"/>
          <w:lang w:eastAsia="en-GB"/>
        </w:rPr>
        <w:t>EDUCATION AND TRADE</w:t>
      </w:r>
    </w:p>
    <w:p w14:paraId="5D5999E6" w14:textId="77777777" w:rsidR="007C1B39" w:rsidRPr="00806CA2" w:rsidRDefault="007C1B39" w:rsidP="7FA80C2C">
      <w:pPr>
        <w:rPr>
          <w:rFonts w:ascii="Tahoma" w:hAnsi="Tahoma" w:cs="Tahoma"/>
          <w:sz w:val="20"/>
          <w:szCs w:val="20"/>
          <w:lang w:val="en-GB"/>
        </w:rPr>
      </w:pPr>
    </w:p>
    <w:p w14:paraId="1D8035C0" w14:textId="12ABFBCA" w:rsidR="00217E53" w:rsidRPr="00806CA2" w:rsidRDefault="00300CB4" w:rsidP="007C7179">
      <w:pPr>
        <w:rPr>
          <w:rFonts w:ascii="Tahoma" w:hAnsi="Tahoma" w:cs="Tahoma"/>
          <w:b/>
          <w:sz w:val="20"/>
          <w:szCs w:val="20"/>
          <w:lang w:val="en-GB"/>
        </w:rPr>
      </w:pPr>
      <w:r>
        <w:rPr>
          <w:rFonts w:ascii="Tahoma" w:hAnsi="Tahoma" w:cs="Tahoma"/>
          <w:b/>
          <w:sz w:val="20"/>
          <w:szCs w:val="20"/>
          <w:lang w:val="en-GB"/>
        </w:rPr>
        <w:t>September</w:t>
      </w:r>
      <w:r w:rsidR="00005D53">
        <w:rPr>
          <w:rFonts w:ascii="Tahoma" w:hAnsi="Tahoma" w:cs="Tahoma"/>
          <w:b/>
          <w:sz w:val="20"/>
          <w:szCs w:val="20"/>
          <w:lang w:val="en-GB"/>
        </w:rPr>
        <w:t xml:space="preserve"> 2016</w:t>
      </w:r>
    </w:p>
    <w:p w14:paraId="5A9AB774" w14:textId="35AC8B0C" w:rsidR="00217E53" w:rsidRDefault="00217E53" w:rsidP="00596913">
      <w:pPr>
        <w:rPr>
          <w:rFonts w:ascii="Tahoma" w:hAnsi="Tahoma" w:cs="Tahoma"/>
          <w:b/>
          <w:sz w:val="20"/>
          <w:szCs w:val="20"/>
          <w:lang w:val="en-GB"/>
        </w:rPr>
      </w:pPr>
    </w:p>
    <w:p w14:paraId="375F1B89" w14:textId="4E61D78E" w:rsidR="007C7179" w:rsidRDefault="007C7179" w:rsidP="00596913">
      <w:pPr>
        <w:rPr>
          <w:rFonts w:ascii="Tahoma" w:hAnsi="Tahoma" w:cs="Tahoma"/>
          <w:b/>
          <w:sz w:val="20"/>
          <w:szCs w:val="20"/>
          <w:lang w:val="en-GB"/>
        </w:rPr>
      </w:pPr>
    </w:p>
    <w:p w14:paraId="6E488F15" w14:textId="6415A3C2" w:rsidR="00D61F3B" w:rsidRDefault="00D61F3B" w:rsidP="00596913">
      <w:pPr>
        <w:rPr>
          <w:rFonts w:ascii="Tahoma" w:hAnsi="Tahoma" w:cs="Tahoma"/>
          <w:b/>
          <w:sz w:val="20"/>
          <w:szCs w:val="20"/>
          <w:lang w:val="en-GB"/>
        </w:rPr>
      </w:pPr>
    </w:p>
    <w:p w14:paraId="2D3825B8" w14:textId="77777777" w:rsidR="007C7179" w:rsidRPr="00D61F3B" w:rsidRDefault="007C7179" w:rsidP="00596913">
      <w:pPr>
        <w:rPr>
          <w:rFonts w:ascii="Tahoma" w:hAnsi="Tahoma" w:cs="Tahoma"/>
          <w:b/>
          <w:sz w:val="20"/>
          <w:szCs w:val="20"/>
          <w:lang w:val="en-GB"/>
        </w:rPr>
      </w:pPr>
      <w:bookmarkStart w:id="0" w:name="_GoBack"/>
      <w:bookmarkEnd w:id="0"/>
    </w:p>
    <w:p w14:paraId="3876973B" w14:textId="18BB8E23" w:rsidR="00217E53" w:rsidRDefault="00217E53" w:rsidP="00596913">
      <w:pPr>
        <w:pStyle w:val="ListParagraph"/>
        <w:numPr>
          <w:ilvl w:val="0"/>
          <w:numId w:val="34"/>
        </w:numPr>
        <w:rPr>
          <w:rFonts w:ascii="Tahoma" w:hAnsi="Tahoma" w:cs="Tahoma"/>
          <w:b/>
          <w:sz w:val="20"/>
          <w:szCs w:val="20"/>
          <w:lang w:val="en-GB"/>
        </w:rPr>
      </w:pPr>
      <w:r w:rsidRPr="00806CA2">
        <w:rPr>
          <w:rFonts w:ascii="Tahoma" w:hAnsi="Tahoma" w:cs="Tahoma"/>
          <w:b/>
          <w:sz w:val="20"/>
          <w:szCs w:val="20"/>
          <w:lang w:val="en-GB"/>
        </w:rPr>
        <w:t>WTO</w:t>
      </w:r>
    </w:p>
    <w:p w14:paraId="38948D66" w14:textId="77777777" w:rsidR="00806CA2" w:rsidRPr="00806CA2" w:rsidRDefault="00806CA2" w:rsidP="00596913">
      <w:pPr>
        <w:pStyle w:val="ListParagraph"/>
        <w:ind w:left="360"/>
        <w:rPr>
          <w:rFonts w:ascii="Tahoma" w:hAnsi="Tahoma" w:cs="Tahoma"/>
          <w:b/>
          <w:sz w:val="20"/>
          <w:szCs w:val="20"/>
          <w:lang w:val="en-GB"/>
        </w:rPr>
      </w:pPr>
    </w:p>
    <w:p w14:paraId="3601492A" w14:textId="439D28BF" w:rsidR="00217E53" w:rsidRDefault="00217E53" w:rsidP="00596913">
      <w:pPr>
        <w:shd w:val="clear" w:color="auto" w:fill="FFFFFF"/>
        <w:rPr>
          <w:rFonts w:ascii="Tahoma" w:hAnsi="Tahoma" w:cs="Tahoma"/>
          <w:color w:val="000000"/>
          <w:sz w:val="20"/>
          <w:szCs w:val="20"/>
          <w:lang w:val="en-GB" w:eastAsia="en-GB" w:bidi="ar-SA"/>
        </w:rPr>
      </w:pPr>
      <w:r w:rsidRPr="00806CA2">
        <w:rPr>
          <w:rFonts w:ascii="Tahoma" w:hAnsi="Tahoma" w:cs="Tahoma"/>
          <w:sz w:val="20"/>
          <w:szCs w:val="20"/>
          <w:lang w:val="en-GB"/>
        </w:rPr>
        <w:t xml:space="preserve">Since the </w:t>
      </w:r>
      <w:r w:rsidR="00570AC6" w:rsidRPr="00806CA2">
        <w:rPr>
          <w:rFonts w:ascii="Tahoma" w:hAnsi="Tahoma" w:cs="Tahoma"/>
          <w:sz w:val="20"/>
          <w:szCs w:val="20"/>
          <w:lang w:val="en-GB"/>
        </w:rPr>
        <w:t xml:space="preserve">launch of the </w:t>
      </w:r>
      <w:r w:rsidRPr="00806CA2">
        <w:rPr>
          <w:rFonts w:ascii="Tahoma" w:hAnsi="Tahoma" w:cs="Tahoma"/>
          <w:sz w:val="20"/>
          <w:szCs w:val="20"/>
          <w:lang w:val="en-GB"/>
        </w:rPr>
        <w:t xml:space="preserve">Doha Development </w:t>
      </w:r>
      <w:r w:rsidR="00570AC6" w:rsidRPr="00806CA2">
        <w:rPr>
          <w:rFonts w:ascii="Tahoma" w:hAnsi="Tahoma" w:cs="Tahoma"/>
          <w:sz w:val="20"/>
          <w:szCs w:val="20"/>
          <w:lang w:val="en-GB"/>
        </w:rPr>
        <w:t xml:space="preserve">Agenda (DDA) </w:t>
      </w:r>
      <w:r w:rsidRPr="00806CA2">
        <w:rPr>
          <w:rFonts w:ascii="Tahoma" w:hAnsi="Tahoma" w:cs="Tahoma"/>
          <w:sz w:val="20"/>
          <w:szCs w:val="20"/>
          <w:lang w:val="en-GB"/>
        </w:rPr>
        <w:t xml:space="preserve">in 2001 WTO members have not </w:t>
      </w:r>
      <w:r w:rsidR="009D79BF" w:rsidRPr="00806CA2">
        <w:rPr>
          <w:rFonts w:ascii="Tahoma" w:hAnsi="Tahoma" w:cs="Tahoma"/>
          <w:sz w:val="20"/>
          <w:szCs w:val="20"/>
          <w:lang w:val="en-GB"/>
        </w:rPr>
        <w:t>been able to reach agreement on concluding the DDA</w:t>
      </w:r>
      <w:r w:rsidRPr="00806CA2">
        <w:rPr>
          <w:rFonts w:ascii="Tahoma" w:hAnsi="Tahoma" w:cs="Tahoma"/>
          <w:sz w:val="20"/>
          <w:szCs w:val="20"/>
          <w:lang w:val="en-GB"/>
        </w:rPr>
        <w:t xml:space="preserve"> and as a result</w:t>
      </w:r>
      <w:r w:rsidR="009D79BF" w:rsidRPr="00806CA2">
        <w:rPr>
          <w:rFonts w:ascii="Tahoma" w:hAnsi="Tahoma" w:cs="Tahoma"/>
          <w:sz w:val="20"/>
          <w:szCs w:val="20"/>
          <w:lang w:val="en-GB"/>
        </w:rPr>
        <w:t xml:space="preserve"> the</w:t>
      </w:r>
      <w:r w:rsidRPr="00806CA2">
        <w:rPr>
          <w:rFonts w:ascii="Tahoma" w:hAnsi="Tahoma" w:cs="Tahoma"/>
          <w:sz w:val="20"/>
          <w:szCs w:val="20"/>
          <w:lang w:val="en-GB"/>
        </w:rPr>
        <w:t xml:space="preserve"> </w:t>
      </w:r>
      <w:r w:rsidR="009D79BF" w:rsidRPr="00806CA2">
        <w:rPr>
          <w:rFonts w:ascii="Tahoma" w:hAnsi="Tahoma" w:cs="Tahoma"/>
          <w:sz w:val="20"/>
          <w:szCs w:val="20"/>
          <w:lang w:val="en-GB"/>
        </w:rPr>
        <w:t xml:space="preserve">relevance and future existence of the WTO has been questioned. </w:t>
      </w:r>
      <w:r w:rsidR="00596913">
        <w:rPr>
          <w:rFonts w:ascii="Tahoma" w:hAnsi="Tahoma" w:cs="Tahoma"/>
          <w:sz w:val="20"/>
          <w:szCs w:val="20"/>
          <w:lang w:val="en-GB"/>
        </w:rPr>
        <w:t xml:space="preserve">Roberto </w:t>
      </w:r>
      <w:r w:rsidR="009D79BF" w:rsidRPr="00806CA2">
        <w:rPr>
          <w:rFonts w:ascii="Tahoma" w:hAnsi="Tahoma" w:cs="Tahoma"/>
          <w:sz w:val="20"/>
          <w:szCs w:val="20"/>
          <w:lang w:val="en-GB"/>
        </w:rPr>
        <w:t xml:space="preserve">Azevêdo, the WTO Director-General, has repeatedly </w:t>
      </w:r>
      <w:r w:rsidR="00517708" w:rsidRPr="00806CA2">
        <w:rPr>
          <w:rFonts w:ascii="Tahoma" w:hAnsi="Tahoma" w:cs="Tahoma"/>
          <w:color w:val="000000"/>
          <w:sz w:val="20"/>
          <w:szCs w:val="20"/>
          <w:lang w:val="en-GB" w:eastAsia="en-GB" w:bidi="ar-SA"/>
        </w:rPr>
        <w:t xml:space="preserve">warned of “paralysis” and “existential crisis” as many of the biggest members pursue their trade liberalisation efforts outside the WTO. The </w:t>
      </w:r>
      <w:r w:rsidR="00484D4E">
        <w:rPr>
          <w:rFonts w:ascii="Tahoma" w:hAnsi="Tahoma" w:cs="Tahoma"/>
          <w:color w:val="000000"/>
          <w:sz w:val="20"/>
          <w:szCs w:val="20"/>
          <w:lang w:val="en-GB" w:eastAsia="en-GB" w:bidi="ar-SA"/>
        </w:rPr>
        <w:t>free trade agreements (</w:t>
      </w:r>
      <w:r w:rsidR="00517708" w:rsidRPr="00806CA2">
        <w:rPr>
          <w:rFonts w:ascii="Tahoma" w:hAnsi="Tahoma" w:cs="Tahoma"/>
          <w:color w:val="000000"/>
          <w:sz w:val="20"/>
          <w:szCs w:val="20"/>
          <w:lang w:val="en-GB" w:eastAsia="en-GB" w:bidi="ar-SA"/>
        </w:rPr>
        <w:t>FTAs</w:t>
      </w:r>
      <w:r w:rsidR="00484D4E">
        <w:rPr>
          <w:rFonts w:ascii="Tahoma" w:hAnsi="Tahoma" w:cs="Tahoma"/>
          <w:color w:val="000000"/>
          <w:sz w:val="20"/>
          <w:szCs w:val="20"/>
          <w:lang w:val="en-GB" w:eastAsia="en-GB" w:bidi="ar-SA"/>
        </w:rPr>
        <w:t>)</w:t>
      </w:r>
      <w:r w:rsidR="00517708" w:rsidRPr="00806CA2">
        <w:rPr>
          <w:rFonts w:ascii="Tahoma" w:hAnsi="Tahoma" w:cs="Tahoma"/>
          <w:color w:val="000000"/>
          <w:sz w:val="20"/>
          <w:szCs w:val="20"/>
          <w:lang w:val="en-GB" w:eastAsia="en-GB" w:bidi="ar-SA"/>
        </w:rPr>
        <w:t xml:space="preserve"> described below are a consequence of the stalemate at the WTO, which weakens the relevance of the WTO. </w:t>
      </w:r>
      <w:r w:rsidR="00E27FFB">
        <w:rPr>
          <w:rFonts w:ascii="Tahoma" w:hAnsi="Tahoma" w:cs="Tahoma"/>
          <w:color w:val="000000"/>
          <w:sz w:val="20"/>
          <w:szCs w:val="20"/>
          <w:lang w:val="en-GB" w:eastAsia="en-GB" w:bidi="ar-SA"/>
        </w:rPr>
        <w:t>However there are minor</w:t>
      </w:r>
      <w:r w:rsidR="00517708" w:rsidRPr="00806CA2">
        <w:rPr>
          <w:rFonts w:ascii="Tahoma" w:hAnsi="Tahoma" w:cs="Tahoma"/>
          <w:color w:val="000000"/>
          <w:sz w:val="20"/>
          <w:szCs w:val="20"/>
          <w:lang w:val="en-GB" w:eastAsia="en-GB" w:bidi="ar-SA"/>
        </w:rPr>
        <w:t xml:space="preserve"> exception</w:t>
      </w:r>
      <w:r w:rsidR="00E27FFB">
        <w:rPr>
          <w:rFonts w:ascii="Tahoma" w:hAnsi="Tahoma" w:cs="Tahoma"/>
          <w:color w:val="000000"/>
          <w:sz w:val="20"/>
          <w:szCs w:val="20"/>
          <w:lang w:val="en-GB" w:eastAsia="en-GB" w:bidi="ar-SA"/>
        </w:rPr>
        <w:t>s to the stalemate at the WTO. One</w:t>
      </w:r>
      <w:r w:rsidR="00517708" w:rsidRPr="00806CA2">
        <w:rPr>
          <w:rFonts w:ascii="Tahoma" w:hAnsi="Tahoma" w:cs="Tahoma"/>
          <w:color w:val="000000"/>
          <w:sz w:val="20"/>
          <w:szCs w:val="20"/>
          <w:lang w:val="en-GB" w:eastAsia="en-GB" w:bidi="ar-SA"/>
        </w:rPr>
        <w:t xml:space="preserve"> is the Bali Package, which was agreed upon during the</w:t>
      </w:r>
      <w:r w:rsidR="00E27FFB">
        <w:rPr>
          <w:rFonts w:ascii="Tahoma" w:hAnsi="Tahoma" w:cs="Tahoma"/>
          <w:color w:val="000000"/>
          <w:sz w:val="20"/>
          <w:szCs w:val="20"/>
          <w:lang w:val="en-GB" w:eastAsia="en-GB" w:bidi="ar-SA"/>
        </w:rPr>
        <w:t xml:space="preserve"> </w:t>
      </w:r>
      <w:r w:rsidR="00484D4E">
        <w:rPr>
          <w:rFonts w:ascii="Tahoma" w:hAnsi="Tahoma" w:cs="Tahoma"/>
          <w:color w:val="000000"/>
          <w:sz w:val="20"/>
          <w:szCs w:val="20"/>
          <w:lang w:val="en-GB" w:eastAsia="en-GB" w:bidi="ar-SA"/>
        </w:rPr>
        <w:t>ninth Ministerial Conference in</w:t>
      </w:r>
      <w:r w:rsidR="00300CB4">
        <w:rPr>
          <w:rFonts w:ascii="Tahoma" w:hAnsi="Tahoma" w:cs="Tahoma"/>
          <w:color w:val="000000"/>
          <w:sz w:val="20"/>
          <w:szCs w:val="20"/>
          <w:lang w:val="en-GB" w:eastAsia="en-GB" w:bidi="ar-SA"/>
        </w:rPr>
        <w:t xml:space="preserve"> </w:t>
      </w:r>
      <w:r w:rsidR="00517708" w:rsidRPr="00806CA2">
        <w:rPr>
          <w:rFonts w:ascii="Tahoma" w:hAnsi="Tahoma" w:cs="Tahoma"/>
          <w:color w:val="000000"/>
          <w:sz w:val="20"/>
          <w:szCs w:val="20"/>
          <w:lang w:val="en-GB" w:eastAsia="en-GB" w:bidi="ar-SA"/>
        </w:rPr>
        <w:t>Dec</w:t>
      </w:r>
      <w:r w:rsidR="00E27FFB">
        <w:rPr>
          <w:rFonts w:ascii="Tahoma" w:hAnsi="Tahoma" w:cs="Tahoma"/>
          <w:color w:val="000000"/>
          <w:sz w:val="20"/>
          <w:szCs w:val="20"/>
          <w:lang w:val="en-GB" w:eastAsia="en-GB" w:bidi="ar-SA"/>
        </w:rPr>
        <w:t>ember 2013. During the</w:t>
      </w:r>
      <w:r w:rsidR="00517708" w:rsidRPr="00806CA2">
        <w:rPr>
          <w:rFonts w:ascii="Tahoma" w:hAnsi="Tahoma" w:cs="Tahoma"/>
          <w:color w:val="000000"/>
          <w:sz w:val="20"/>
          <w:szCs w:val="20"/>
          <w:lang w:val="en-GB" w:eastAsia="en-GB" w:bidi="ar-SA"/>
        </w:rPr>
        <w:t xml:space="preserve"> tenth Ministerial Conference </w:t>
      </w:r>
      <w:r w:rsidR="00300CB4">
        <w:rPr>
          <w:rFonts w:ascii="Tahoma" w:hAnsi="Tahoma" w:cs="Tahoma"/>
          <w:color w:val="000000"/>
          <w:sz w:val="20"/>
          <w:szCs w:val="20"/>
          <w:lang w:val="en-GB" w:eastAsia="en-GB" w:bidi="ar-SA"/>
        </w:rPr>
        <w:t>of December 2015</w:t>
      </w:r>
      <w:r w:rsidR="00E27FFB">
        <w:rPr>
          <w:rFonts w:ascii="Tahoma" w:hAnsi="Tahoma" w:cs="Tahoma"/>
          <w:color w:val="000000"/>
          <w:sz w:val="20"/>
          <w:szCs w:val="20"/>
          <w:lang w:val="en-GB" w:eastAsia="en-GB" w:bidi="ar-SA"/>
        </w:rPr>
        <w:t xml:space="preserve"> </w:t>
      </w:r>
      <w:r w:rsidR="008633C6">
        <w:rPr>
          <w:rFonts w:ascii="Tahoma" w:hAnsi="Tahoma" w:cs="Tahoma"/>
          <w:color w:val="000000"/>
          <w:sz w:val="20"/>
          <w:szCs w:val="20"/>
          <w:lang w:val="en-GB" w:eastAsia="en-GB" w:bidi="ar-SA"/>
        </w:rPr>
        <w:t xml:space="preserve">an agreement was reached </w:t>
      </w:r>
      <w:r w:rsidR="00484D4E">
        <w:rPr>
          <w:rFonts w:ascii="Tahoma" w:hAnsi="Tahoma" w:cs="Tahoma"/>
          <w:color w:val="000000"/>
          <w:sz w:val="20"/>
          <w:szCs w:val="20"/>
          <w:lang w:val="en-GB" w:eastAsia="en-GB" w:bidi="ar-SA"/>
        </w:rPr>
        <w:t xml:space="preserve">on </w:t>
      </w:r>
      <w:r w:rsidR="008633C6" w:rsidRPr="008633C6">
        <w:rPr>
          <w:rFonts w:ascii="Tahoma" w:hAnsi="Tahoma" w:cs="Tahoma"/>
          <w:color w:val="000000"/>
          <w:sz w:val="20"/>
          <w:szCs w:val="20"/>
          <w:lang w:val="en-GB" w:eastAsia="en-GB" w:bidi="ar-SA"/>
        </w:rPr>
        <w:t>abolish</w:t>
      </w:r>
      <w:r w:rsidR="008633C6">
        <w:rPr>
          <w:rFonts w:ascii="Tahoma" w:hAnsi="Tahoma" w:cs="Tahoma"/>
          <w:color w:val="000000"/>
          <w:sz w:val="20"/>
          <w:szCs w:val="20"/>
          <w:lang w:val="en-GB" w:eastAsia="en-GB" w:bidi="ar-SA"/>
        </w:rPr>
        <w:t>ing</w:t>
      </w:r>
      <w:r w:rsidR="008633C6" w:rsidRPr="008633C6">
        <w:rPr>
          <w:rFonts w:ascii="Tahoma" w:hAnsi="Tahoma" w:cs="Tahoma"/>
          <w:color w:val="000000"/>
          <w:sz w:val="20"/>
          <w:szCs w:val="20"/>
          <w:lang w:val="en-GB" w:eastAsia="en-GB" w:bidi="ar-SA"/>
        </w:rPr>
        <w:t xml:space="preserve"> export subsidies for farm exports</w:t>
      </w:r>
      <w:r w:rsidR="00517708" w:rsidRPr="00806CA2">
        <w:rPr>
          <w:rFonts w:ascii="Tahoma" w:hAnsi="Tahoma" w:cs="Tahoma"/>
          <w:color w:val="000000"/>
          <w:sz w:val="20"/>
          <w:szCs w:val="20"/>
          <w:lang w:val="en-GB" w:eastAsia="en-GB" w:bidi="ar-SA"/>
        </w:rPr>
        <w:t xml:space="preserve">. </w:t>
      </w:r>
      <w:r w:rsidR="008633C6">
        <w:rPr>
          <w:rFonts w:ascii="Tahoma" w:hAnsi="Tahoma" w:cs="Tahoma"/>
          <w:color w:val="000000"/>
          <w:sz w:val="20"/>
          <w:szCs w:val="20"/>
          <w:lang w:val="en-GB" w:eastAsia="en-GB" w:bidi="ar-SA"/>
        </w:rPr>
        <w:t>However</w:t>
      </w:r>
      <w:r w:rsidR="00484D4E">
        <w:rPr>
          <w:rFonts w:ascii="Tahoma" w:hAnsi="Tahoma" w:cs="Tahoma"/>
          <w:color w:val="000000"/>
          <w:sz w:val="20"/>
          <w:szCs w:val="20"/>
          <w:lang w:val="en-GB" w:eastAsia="en-GB" w:bidi="ar-SA"/>
        </w:rPr>
        <w:t>,</w:t>
      </w:r>
      <w:r w:rsidR="008633C6">
        <w:rPr>
          <w:rFonts w:ascii="Tahoma" w:hAnsi="Tahoma" w:cs="Tahoma"/>
          <w:color w:val="000000"/>
          <w:sz w:val="20"/>
          <w:szCs w:val="20"/>
          <w:lang w:val="en-GB" w:eastAsia="en-GB" w:bidi="ar-SA"/>
        </w:rPr>
        <w:t xml:space="preserve"> the aim of concluding the DDA was not reached, and on the contrary</w:t>
      </w:r>
      <w:r w:rsidR="002E13CA" w:rsidRPr="00806CA2">
        <w:rPr>
          <w:rFonts w:ascii="Tahoma" w:hAnsi="Tahoma" w:cs="Tahoma"/>
          <w:color w:val="000000"/>
          <w:sz w:val="20"/>
          <w:szCs w:val="20"/>
          <w:lang w:val="en-GB" w:eastAsia="en-GB" w:bidi="ar-SA"/>
        </w:rPr>
        <w:t xml:space="preserve"> </w:t>
      </w:r>
      <w:r w:rsidR="008633C6">
        <w:rPr>
          <w:rFonts w:ascii="Tahoma" w:hAnsi="Tahoma" w:cs="Tahoma"/>
          <w:color w:val="000000"/>
          <w:sz w:val="20"/>
          <w:szCs w:val="20"/>
          <w:lang w:val="en-GB" w:eastAsia="en-GB" w:bidi="ar-SA"/>
        </w:rPr>
        <w:t xml:space="preserve">WTO Member acknowledged in the </w:t>
      </w:r>
      <w:hyperlink r:id="rId12" w:history="1">
        <w:r w:rsidR="008633C6" w:rsidRPr="008633C6">
          <w:rPr>
            <w:rStyle w:val="Hyperlink"/>
            <w:rFonts w:ascii="Tahoma" w:hAnsi="Tahoma" w:cs="Tahoma"/>
            <w:sz w:val="20"/>
            <w:szCs w:val="20"/>
            <w:lang w:val="en-GB" w:eastAsia="en-GB" w:bidi="ar-SA"/>
          </w:rPr>
          <w:t>Nairobi Declaration</w:t>
        </w:r>
      </w:hyperlink>
      <w:r w:rsidR="008633C6">
        <w:rPr>
          <w:rFonts w:ascii="Tahoma" w:hAnsi="Tahoma" w:cs="Tahoma"/>
          <w:color w:val="000000"/>
          <w:sz w:val="20"/>
          <w:szCs w:val="20"/>
          <w:lang w:val="en-GB" w:eastAsia="en-GB" w:bidi="ar-SA"/>
        </w:rPr>
        <w:t xml:space="preserve"> that they are divided on the future of the DDA. </w:t>
      </w:r>
      <w:r w:rsidR="00786A27">
        <w:rPr>
          <w:rFonts w:ascii="Tahoma" w:hAnsi="Tahoma" w:cs="Tahoma"/>
          <w:color w:val="000000"/>
          <w:sz w:val="20"/>
          <w:szCs w:val="20"/>
          <w:lang w:val="en-GB" w:eastAsia="en-GB" w:bidi="ar-SA"/>
        </w:rPr>
        <w:t xml:space="preserve">Recently, the focus has been heavily focused on e-commerce and it is expected that the </w:t>
      </w:r>
      <w:r w:rsidR="00786A27" w:rsidRPr="00786A27">
        <w:rPr>
          <w:rFonts w:ascii="Tahoma" w:hAnsi="Tahoma" w:cs="Tahoma"/>
          <w:color w:val="000000"/>
          <w:sz w:val="20"/>
          <w:szCs w:val="20"/>
          <w:lang w:val="en-GB" w:eastAsia="en-GB" w:bidi="ar-SA"/>
        </w:rPr>
        <w:t>next ministerial conference</w:t>
      </w:r>
      <w:r w:rsidR="00786A27">
        <w:rPr>
          <w:rFonts w:ascii="Tahoma" w:hAnsi="Tahoma" w:cs="Tahoma"/>
          <w:color w:val="000000"/>
          <w:sz w:val="20"/>
          <w:szCs w:val="20"/>
          <w:lang w:val="en-GB" w:eastAsia="en-GB" w:bidi="ar-SA"/>
        </w:rPr>
        <w:t xml:space="preserve"> (December 2017) will focus in particular on e-commerce.</w:t>
      </w:r>
      <w:r w:rsidR="00114B4F">
        <w:rPr>
          <w:rFonts w:ascii="Tahoma" w:hAnsi="Tahoma" w:cs="Tahoma"/>
          <w:color w:val="000000"/>
          <w:sz w:val="20"/>
          <w:szCs w:val="20"/>
          <w:lang w:val="en-GB" w:eastAsia="en-GB" w:bidi="ar-SA"/>
        </w:rPr>
        <w:t xml:space="preserve"> </w:t>
      </w:r>
      <w:r w:rsidR="00114B4F" w:rsidRPr="00114B4F">
        <w:rPr>
          <w:rFonts w:ascii="Tahoma" w:hAnsi="Tahoma" w:cs="Tahoma"/>
          <w:color w:val="000000"/>
          <w:sz w:val="20"/>
          <w:szCs w:val="20"/>
          <w:lang w:val="en-GB" w:eastAsia="en-GB" w:bidi="ar-SA"/>
        </w:rPr>
        <w:t xml:space="preserve">The </w:t>
      </w:r>
      <w:r w:rsidR="00114B4F">
        <w:rPr>
          <w:rFonts w:ascii="Tahoma" w:hAnsi="Tahoma" w:cs="Tahoma"/>
          <w:color w:val="000000"/>
          <w:sz w:val="20"/>
          <w:szCs w:val="20"/>
          <w:lang w:val="en-GB" w:eastAsia="en-GB" w:bidi="ar-SA"/>
        </w:rPr>
        <w:t xml:space="preserve">focus on e-commerce is basically due to the current state of affairs as the world is changing and it is necessary </w:t>
      </w:r>
      <w:r w:rsidR="00114B4F" w:rsidRPr="00114B4F">
        <w:rPr>
          <w:rFonts w:ascii="Tahoma" w:hAnsi="Tahoma" w:cs="Tahoma"/>
          <w:color w:val="000000"/>
          <w:sz w:val="20"/>
          <w:szCs w:val="20"/>
          <w:lang w:val="en-GB" w:eastAsia="en-GB" w:bidi="ar-SA"/>
        </w:rPr>
        <w:t>to update the rulebook</w:t>
      </w:r>
      <w:r w:rsidR="00114B4F">
        <w:rPr>
          <w:rFonts w:ascii="Tahoma" w:hAnsi="Tahoma" w:cs="Tahoma"/>
          <w:color w:val="000000"/>
          <w:sz w:val="20"/>
          <w:szCs w:val="20"/>
          <w:lang w:val="en-GB" w:eastAsia="en-GB" w:bidi="ar-SA"/>
        </w:rPr>
        <w:t xml:space="preserve"> on this issue</w:t>
      </w:r>
      <w:r w:rsidR="00114B4F" w:rsidRPr="00114B4F">
        <w:rPr>
          <w:rFonts w:ascii="Tahoma" w:hAnsi="Tahoma" w:cs="Tahoma"/>
          <w:color w:val="000000"/>
          <w:sz w:val="20"/>
          <w:szCs w:val="20"/>
          <w:lang w:val="en-GB" w:eastAsia="en-GB" w:bidi="ar-SA"/>
        </w:rPr>
        <w:t xml:space="preserve">. </w:t>
      </w:r>
      <w:r w:rsidR="00114B4F">
        <w:rPr>
          <w:rFonts w:ascii="Tahoma" w:hAnsi="Tahoma" w:cs="Tahoma"/>
          <w:color w:val="000000"/>
          <w:sz w:val="20"/>
          <w:szCs w:val="20"/>
          <w:lang w:val="en-GB" w:eastAsia="en-GB" w:bidi="ar-SA"/>
        </w:rPr>
        <w:t>At the same time it is</w:t>
      </w:r>
      <w:r w:rsidR="00114B4F" w:rsidRPr="00114B4F">
        <w:rPr>
          <w:rFonts w:ascii="Tahoma" w:hAnsi="Tahoma" w:cs="Tahoma"/>
          <w:color w:val="000000"/>
          <w:sz w:val="20"/>
          <w:szCs w:val="20"/>
          <w:lang w:val="en-GB" w:eastAsia="en-GB" w:bidi="ar-SA"/>
        </w:rPr>
        <w:t xml:space="preserve"> a topic that is comparatively</w:t>
      </w:r>
      <w:r w:rsidR="00114B4F">
        <w:rPr>
          <w:rFonts w:ascii="Tahoma" w:hAnsi="Tahoma" w:cs="Tahoma"/>
          <w:color w:val="000000"/>
          <w:sz w:val="20"/>
          <w:szCs w:val="20"/>
          <w:lang w:val="en-GB" w:eastAsia="en-GB" w:bidi="ar-SA"/>
        </w:rPr>
        <w:t xml:space="preserve"> new to WTO negotiators and</w:t>
      </w:r>
      <w:r w:rsidR="00114B4F" w:rsidRPr="00114B4F">
        <w:rPr>
          <w:rFonts w:ascii="Tahoma" w:hAnsi="Tahoma" w:cs="Tahoma"/>
          <w:color w:val="000000"/>
          <w:sz w:val="20"/>
          <w:szCs w:val="20"/>
          <w:lang w:val="en-GB" w:eastAsia="en-GB" w:bidi="ar-SA"/>
        </w:rPr>
        <w:t xml:space="preserve"> one that has so far </w:t>
      </w:r>
      <w:r w:rsidR="00114B4F">
        <w:rPr>
          <w:rFonts w:ascii="Tahoma" w:hAnsi="Tahoma" w:cs="Tahoma"/>
          <w:color w:val="000000"/>
          <w:sz w:val="20"/>
          <w:szCs w:val="20"/>
          <w:lang w:val="en-GB" w:eastAsia="en-GB" w:bidi="ar-SA"/>
        </w:rPr>
        <w:t>not been met with</w:t>
      </w:r>
      <w:r w:rsidR="00114B4F" w:rsidRPr="00114B4F">
        <w:rPr>
          <w:rFonts w:ascii="Tahoma" w:hAnsi="Tahoma" w:cs="Tahoma"/>
          <w:color w:val="000000"/>
          <w:sz w:val="20"/>
          <w:szCs w:val="20"/>
          <w:lang w:val="en-GB" w:eastAsia="en-GB" w:bidi="ar-SA"/>
        </w:rPr>
        <w:t xml:space="preserve"> obstacle</w:t>
      </w:r>
      <w:r w:rsidR="00114B4F">
        <w:rPr>
          <w:rFonts w:ascii="Tahoma" w:hAnsi="Tahoma" w:cs="Tahoma"/>
          <w:color w:val="000000"/>
          <w:sz w:val="20"/>
          <w:szCs w:val="20"/>
          <w:lang w:val="en-GB" w:eastAsia="en-GB" w:bidi="ar-SA"/>
        </w:rPr>
        <w:t>s</w:t>
      </w:r>
      <w:r w:rsidR="00114B4F" w:rsidRPr="00114B4F">
        <w:rPr>
          <w:rFonts w:ascii="Tahoma" w:hAnsi="Tahoma" w:cs="Tahoma"/>
          <w:color w:val="000000"/>
          <w:sz w:val="20"/>
          <w:szCs w:val="20"/>
          <w:lang w:val="en-GB" w:eastAsia="en-GB" w:bidi="ar-SA"/>
        </w:rPr>
        <w:t xml:space="preserve"> the way other</w:t>
      </w:r>
      <w:r w:rsidR="00114B4F">
        <w:rPr>
          <w:rFonts w:ascii="Tahoma" w:hAnsi="Tahoma" w:cs="Tahoma"/>
          <w:color w:val="000000"/>
          <w:sz w:val="20"/>
          <w:szCs w:val="20"/>
          <w:lang w:val="en-GB" w:eastAsia="en-GB" w:bidi="ar-SA"/>
        </w:rPr>
        <w:t xml:space="preserve"> long-standing topics of discussion </w:t>
      </w:r>
      <w:r w:rsidR="00114B4F" w:rsidRPr="00114B4F">
        <w:rPr>
          <w:rFonts w:ascii="Tahoma" w:hAnsi="Tahoma" w:cs="Tahoma"/>
          <w:color w:val="000000"/>
          <w:sz w:val="20"/>
          <w:szCs w:val="20"/>
          <w:lang w:val="en-GB" w:eastAsia="en-GB" w:bidi="ar-SA"/>
        </w:rPr>
        <w:t>have.</w:t>
      </w:r>
      <w:r w:rsidR="00786A27">
        <w:rPr>
          <w:rFonts w:ascii="Tahoma" w:hAnsi="Tahoma" w:cs="Tahoma"/>
          <w:color w:val="000000"/>
          <w:sz w:val="20"/>
          <w:szCs w:val="20"/>
          <w:lang w:val="en-GB" w:eastAsia="en-GB" w:bidi="ar-SA"/>
        </w:rPr>
        <w:t xml:space="preserve"> </w:t>
      </w:r>
      <w:r w:rsidR="0062498A">
        <w:rPr>
          <w:rFonts w:ascii="Tahoma" w:hAnsi="Tahoma" w:cs="Tahoma"/>
          <w:color w:val="000000"/>
          <w:sz w:val="20"/>
          <w:szCs w:val="20"/>
          <w:lang w:val="en-GB" w:eastAsia="en-GB" w:bidi="ar-SA"/>
        </w:rPr>
        <w:t xml:space="preserve">According to </w:t>
      </w:r>
      <w:r w:rsidR="0062498A" w:rsidRPr="0062498A">
        <w:rPr>
          <w:rFonts w:ascii="Tahoma" w:hAnsi="Tahoma" w:cs="Tahoma"/>
          <w:color w:val="000000"/>
          <w:sz w:val="20"/>
          <w:szCs w:val="20"/>
          <w:lang w:val="en-GB" w:eastAsia="en-GB" w:bidi="ar-SA"/>
        </w:rPr>
        <w:t>Azevedo</w:t>
      </w:r>
      <w:r w:rsidR="0062498A">
        <w:rPr>
          <w:rFonts w:ascii="Tahoma" w:hAnsi="Tahoma" w:cs="Tahoma"/>
          <w:color w:val="000000"/>
          <w:sz w:val="20"/>
          <w:szCs w:val="20"/>
          <w:lang w:val="en-GB" w:eastAsia="en-GB" w:bidi="ar-SA"/>
        </w:rPr>
        <w:t>:</w:t>
      </w:r>
      <w:r w:rsidR="0062498A" w:rsidRPr="0062498A">
        <w:rPr>
          <w:rFonts w:ascii="Tahoma" w:hAnsi="Tahoma" w:cs="Tahoma"/>
          <w:color w:val="000000"/>
          <w:sz w:val="20"/>
          <w:szCs w:val="20"/>
          <w:lang w:val="en-GB" w:eastAsia="en-GB" w:bidi="ar-SA"/>
        </w:rPr>
        <w:t xml:space="preserve"> "It's still uncertain what can be done, but I think that if we manage expectations and if we try to do things from a balanced perspective, one that includes both the interest of the advanced economies and the developing economies, I think you will see interesting outcomes."</w:t>
      </w:r>
      <w:r w:rsidR="004C26CF">
        <w:rPr>
          <w:rFonts w:ascii="Tahoma" w:hAnsi="Tahoma" w:cs="Tahoma"/>
          <w:color w:val="000000"/>
          <w:sz w:val="20"/>
          <w:szCs w:val="20"/>
          <w:lang w:val="en-GB" w:eastAsia="en-GB" w:bidi="ar-SA"/>
        </w:rPr>
        <w:t xml:space="preserve"> It will be crucial to monitor the</w:t>
      </w:r>
      <w:r w:rsidR="009F5373">
        <w:rPr>
          <w:rFonts w:ascii="Tahoma" w:hAnsi="Tahoma" w:cs="Tahoma"/>
          <w:color w:val="000000"/>
          <w:sz w:val="20"/>
          <w:szCs w:val="20"/>
          <w:lang w:val="en-GB" w:eastAsia="en-GB" w:bidi="ar-SA"/>
        </w:rPr>
        <w:t xml:space="preserve"> WTO</w:t>
      </w:r>
      <w:r w:rsidR="004C26CF">
        <w:rPr>
          <w:rFonts w:ascii="Tahoma" w:hAnsi="Tahoma" w:cs="Tahoma"/>
          <w:color w:val="000000"/>
          <w:sz w:val="20"/>
          <w:szCs w:val="20"/>
          <w:lang w:val="en-GB" w:eastAsia="en-GB" w:bidi="ar-SA"/>
        </w:rPr>
        <w:t xml:space="preserve"> developments o</w:t>
      </w:r>
      <w:r w:rsidR="009F5373">
        <w:rPr>
          <w:rFonts w:ascii="Tahoma" w:hAnsi="Tahoma" w:cs="Tahoma"/>
          <w:color w:val="000000"/>
          <w:sz w:val="20"/>
          <w:szCs w:val="20"/>
          <w:lang w:val="en-GB" w:eastAsia="en-GB" w:bidi="ar-SA"/>
        </w:rPr>
        <w:t xml:space="preserve">n e-commerce, especially concerning the links between education and e-commerce with the developments around e-learning and electronic education materials. </w:t>
      </w:r>
    </w:p>
    <w:p w14:paraId="1AAF7AA6" w14:textId="74662A87" w:rsidR="00D61F3B" w:rsidRDefault="00D61F3B" w:rsidP="00596913">
      <w:pPr>
        <w:shd w:val="clear" w:color="auto" w:fill="FFFFFF"/>
        <w:rPr>
          <w:rFonts w:ascii="Tahoma" w:hAnsi="Tahoma" w:cs="Tahoma"/>
          <w:color w:val="000000"/>
          <w:sz w:val="20"/>
          <w:szCs w:val="20"/>
          <w:lang w:val="en-GB" w:eastAsia="en-GB" w:bidi="ar-SA"/>
        </w:rPr>
      </w:pPr>
    </w:p>
    <w:p w14:paraId="096735BD" w14:textId="77777777" w:rsidR="00D61F3B" w:rsidRDefault="00D61F3B" w:rsidP="00596913">
      <w:pPr>
        <w:pStyle w:val="ListParagraph"/>
        <w:numPr>
          <w:ilvl w:val="0"/>
          <w:numId w:val="34"/>
        </w:numPr>
        <w:rPr>
          <w:rFonts w:ascii="Tahoma" w:hAnsi="Tahoma" w:cs="Tahoma"/>
          <w:b/>
          <w:sz w:val="20"/>
          <w:szCs w:val="20"/>
          <w:lang w:val="en-GB"/>
        </w:rPr>
      </w:pPr>
      <w:r w:rsidRPr="00806CA2">
        <w:rPr>
          <w:rFonts w:ascii="Tahoma" w:hAnsi="Tahoma" w:cs="Tahoma"/>
          <w:b/>
          <w:sz w:val="20"/>
          <w:szCs w:val="20"/>
          <w:lang w:val="en-GB"/>
        </w:rPr>
        <w:t xml:space="preserve">Comprehensive Economic and Trade Agreement (CETA) </w:t>
      </w:r>
    </w:p>
    <w:p w14:paraId="57853BD2" w14:textId="77777777" w:rsidR="00D61F3B" w:rsidRPr="000236C0" w:rsidRDefault="00D61F3B" w:rsidP="00596913">
      <w:pPr>
        <w:pStyle w:val="ListParagraph"/>
        <w:ind w:left="360"/>
        <w:rPr>
          <w:rFonts w:ascii="Tahoma" w:hAnsi="Tahoma" w:cs="Tahoma"/>
          <w:b/>
          <w:sz w:val="20"/>
          <w:szCs w:val="20"/>
          <w:lang w:val="en-GB"/>
        </w:rPr>
      </w:pPr>
    </w:p>
    <w:p w14:paraId="2D54CEEB" w14:textId="471BCE75" w:rsidR="00D61F3B" w:rsidRPr="004869F0" w:rsidRDefault="00D61F3B" w:rsidP="00596913">
      <w:pPr>
        <w:rPr>
          <w:rFonts w:ascii="Tahoma" w:hAnsi="Tahoma" w:cs="Tahoma"/>
          <w:sz w:val="20"/>
          <w:szCs w:val="20"/>
          <w:lang w:val="en-GB"/>
        </w:rPr>
      </w:pPr>
      <w:r w:rsidRPr="004869F0">
        <w:rPr>
          <w:rFonts w:ascii="Tahoma" w:hAnsi="Tahoma" w:cs="Tahoma"/>
          <w:sz w:val="20"/>
          <w:szCs w:val="20"/>
          <w:lang w:val="en-GB"/>
        </w:rPr>
        <w:t>The CETA (Comprehensive Economic and Trade Agreement) negotiations between Canada and the European Union were launched in May 20</w:t>
      </w:r>
      <w:r w:rsidR="0088251A" w:rsidRPr="004869F0">
        <w:rPr>
          <w:rFonts w:ascii="Tahoma" w:hAnsi="Tahoma" w:cs="Tahoma"/>
          <w:sz w:val="20"/>
          <w:szCs w:val="20"/>
          <w:lang w:val="en-GB"/>
        </w:rPr>
        <w:t>09 and a deal was formally concluded in</w:t>
      </w:r>
      <w:r w:rsidRPr="004869F0">
        <w:rPr>
          <w:rFonts w:ascii="Tahoma" w:hAnsi="Tahoma" w:cs="Tahoma"/>
          <w:sz w:val="20"/>
          <w:szCs w:val="20"/>
          <w:lang w:val="en-GB"/>
        </w:rPr>
        <w:t xml:space="preserve"> October 2014. The signature of CETA is planned </w:t>
      </w:r>
      <w:r w:rsidR="00793FEE" w:rsidRPr="004869F0">
        <w:rPr>
          <w:rFonts w:ascii="Tahoma" w:hAnsi="Tahoma" w:cs="Tahoma"/>
          <w:sz w:val="20"/>
          <w:szCs w:val="20"/>
          <w:lang w:val="en-GB"/>
        </w:rPr>
        <w:t xml:space="preserve">for the 27 </w:t>
      </w:r>
      <w:r w:rsidR="0088251A" w:rsidRPr="004869F0">
        <w:rPr>
          <w:rFonts w:ascii="Tahoma" w:hAnsi="Tahoma" w:cs="Tahoma"/>
          <w:sz w:val="20"/>
          <w:szCs w:val="20"/>
          <w:lang w:val="en-GB"/>
        </w:rPr>
        <w:t>October 2016</w:t>
      </w:r>
      <w:r w:rsidRPr="004869F0">
        <w:rPr>
          <w:rFonts w:ascii="Tahoma" w:hAnsi="Tahoma" w:cs="Tahoma"/>
          <w:sz w:val="20"/>
          <w:szCs w:val="20"/>
          <w:lang w:val="en-GB"/>
        </w:rPr>
        <w:t xml:space="preserve"> during the </w:t>
      </w:r>
      <w:r w:rsidR="0088251A" w:rsidRPr="004869F0">
        <w:rPr>
          <w:rFonts w:ascii="Tahoma" w:hAnsi="Tahoma" w:cs="Tahoma"/>
          <w:sz w:val="20"/>
          <w:szCs w:val="20"/>
          <w:lang w:val="en-GB"/>
        </w:rPr>
        <w:t>EU-Canada Summit to take place</w:t>
      </w:r>
      <w:r w:rsidRPr="004869F0">
        <w:rPr>
          <w:rFonts w:ascii="Tahoma" w:hAnsi="Tahoma" w:cs="Tahoma"/>
          <w:sz w:val="20"/>
          <w:szCs w:val="20"/>
          <w:lang w:val="en-GB"/>
        </w:rPr>
        <w:t xml:space="preserve"> in Brussels.</w:t>
      </w:r>
      <w:r w:rsidR="000236C0" w:rsidRPr="004869F0">
        <w:rPr>
          <w:rFonts w:ascii="Tahoma" w:hAnsi="Tahoma" w:cs="Tahoma"/>
          <w:sz w:val="20"/>
          <w:szCs w:val="20"/>
          <w:lang w:val="en-GB"/>
        </w:rPr>
        <w:t xml:space="preserve"> During the informal trade meeting of the European Union on 23 September</w:t>
      </w:r>
      <w:r w:rsidRPr="004869F0">
        <w:rPr>
          <w:rFonts w:ascii="Tahoma" w:hAnsi="Tahoma" w:cs="Tahoma"/>
          <w:sz w:val="20"/>
          <w:szCs w:val="20"/>
          <w:lang w:val="en-GB"/>
        </w:rPr>
        <w:t xml:space="preserve"> </w:t>
      </w:r>
      <w:r w:rsidR="000236C0" w:rsidRPr="004869F0">
        <w:rPr>
          <w:rFonts w:ascii="Tahoma" w:hAnsi="Tahoma" w:cs="Tahoma"/>
          <w:sz w:val="20"/>
          <w:szCs w:val="20"/>
          <w:lang w:val="en-GB"/>
        </w:rPr>
        <w:t>i</w:t>
      </w:r>
      <w:r w:rsidR="00C64E16" w:rsidRPr="004869F0">
        <w:rPr>
          <w:rFonts w:ascii="Tahoma" w:hAnsi="Tahoma" w:cs="Tahoma"/>
          <w:sz w:val="20"/>
          <w:szCs w:val="20"/>
          <w:lang w:val="en-GB"/>
        </w:rPr>
        <w:t>t was agreed that a draft joint declaration on the delivery of public services, labour rights and environmental protection</w:t>
      </w:r>
      <w:r w:rsidR="000236C0" w:rsidRPr="004869F0">
        <w:rPr>
          <w:rFonts w:ascii="Tahoma" w:hAnsi="Tahoma" w:cs="Tahoma"/>
          <w:sz w:val="20"/>
          <w:szCs w:val="20"/>
          <w:lang w:val="en-GB"/>
        </w:rPr>
        <w:t xml:space="preserve"> in relation to CETA</w:t>
      </w:r>
      <w:r w:rsidR="00C64E16" w:rsidRPr="004869F0">
        <w:rPr>
          <w:rFonts w:ascii="Tahoma" w:hAnsi="Tahoma" w:cs="Tahoma"/>
          <w:sz w:val="20"/>
          <w:szCs w:val="20"/>
          <w:lang w:val="en-GB"/>
        </w:rPr>
        <w:t xml:space="preserve"> will be presented to </w:t>
      </w:r>
      <w:r w:rsidR="0033387F" w:rsidRPr="004869F0">
        <w:rPr>
          <w:rFonts w:ascii="Tahoma" w:hAnsi="Tahoma" w:cs="Tahoma"/>
          <w:sz w:val="20"/>
          <w:szCs w:val="20"/>
          <w:lang w:val="en-GB"/>
        </w:rPr>
        <w:t xml:space="preserve">the </w:t>
      </w:r>
      <w:r w:rsidR="000236C0" w:rsidRPr="004869F0">
        <w:rPr>
          <w:rFonts w:ascii="Tahoma" w:hAnsi="Tahoma" w:cs="Tahoma"/>
          <w:sz w:val="20"/>
          <w:szCs w:val="20"/>
          <w:lang w:val="en-GB"/>
        </w:rPr>
        <w:t>EU M</w:t>
      </w:r>
      <w:r w:rsidR="0033387F" w:rsidRPr="004869F0">
        <w:rPr>
          <w:rFonts w:ascii="Tahoma" w:hAnsi="Tahoma" w:cs="Tahoma"/>
          <w:sz w:val="20"/>
          <w:szCs w:val="20"/>
          <w:lang w:val="en-GB"/>
        </w:rPr>
        <w:t xml:space="preserve">ember </w:t>
      </w:r>
      <w:r w:rsidR="000236C0" w:rsidRPr="004869F0">
        <w:rPr>
          <w:rFonts w:ascii="Tahoma" w:hAnsi="Tahoma" w:cs="Tahoma"/>
          <w:sz w:val="20"/>
          <w:szCs w:val="20"/>
          <w:lang w:val="en-GB"/>
        </w:rPr>
        <w:t>S</w:t>
      </w:r>
      <w:r w:rsidR="0033387F" w:rsidRPr="004869F0">
        <w:rPr>
          <w:rFonts w:ascii="Tahoma" w:hAnsi="Tahoma" w:cs="Tahoma"/>
          <w:sz w:val="20"/>
          <w:szCs w:val="20"/>
          <w:lang w:val="en-GB"/>
        </w:rPr>
        <w:t xml:space="preserve">tates on 12 October prior to the </w:t>
      </w:r>
      <w:r w:rsidR="000236C0" w:rsidRPr="004869F0">
        <w:rPr>
          <w:rFonts w:ascii="Tahoma" w:hAnsi="Tahoma" w:cs="Tahoma"/>
          <w:sz w:val="20"/>
          <w:szCs w:val="20"/>
          <w:lang w:val="en-GB"/>
        </w:rPr>
        <w:t>T</w:t>
      </w:r>
      <w:r w:rsidR="0033387F" w:rsidRPr="004869F0">
        <w:rPr>
          <w:rFonts w:ascii="Tahoma" w:hAnsi="Tahoma" w:cs="Tahoma"/>
          <w:sz w:val="20"/>
          <w:szCs w:val="20"/>
          <w:lang w:val="en-GB"/>
        </w:rPr>
        <w:t xml:space="preserve">rade </w:t>
      </w:r>
      <w:r w:rsidR="000236C0" w:rsidRPr="004869F0">
        <w:rPr>
          <w:rFonts w:ascii="Tahoma" w:hAnsi="Tahoma" w:cs="Tahoma"/>
          <w:sz w:val="20"/>
          <w:szCs w:val="20"/>
          <w:lang w:val="en-GB"/>
        </w:rPr>
        <w:t>C</w:t>
      </w:r>
      <w:r w:rsidR="0033387F" w:rsidRPr="004869F0">
        <w:rPr>
          <w:rFonts w:ascii="Tahoma" w:hAnsi="Tahoma" w:cs="Tahoma"/>
          <w:sz w:val="20"/>
          <w:szCs w:val="20"/>
          <w:lang w:val="en-GB"/>
        </w:rPr>
        <w:t>ouncil meeting on 18 October</w:t>
      </w:r>
      <w:r w:rsidR="000236C0" w:rsidRPr="004869F0">
        <w:rPr>
          <w:rFonts w:ascii="Tahoma" w:hAnsi="Tahoma" w:cs="Tahoma"/>
          <w:sz w:val="20"/>
          <w:szCs w:val="20"/>
          <w:lang w:val="en-GB"/>
        </w:rPr>
        <w:t>, where Trade Ministers are expected to approve CETA</w:t>
      </w:r>
      <w:r w:rsidRPr="004869F0">
        <w:rPr>
          <w:rFonts w:ascii="Tahoma" w:hAnsi="Tahoma" w:cs="Tahoma"/>
          <w:sz w:val="20"/>
          <w:szCs w:val="20"/>
          <w:lang w:val="en-GB"/>
        </w:rPr>
        <w:t xml:space="preserve">. </w:t>
      </w:r>
      <w:r w:rsidR="009C16B9" w:rsidRPr="004869F0">
        <w:rPr>
          <w:rFonts w:ascii="Tahoma" w:hAnsi="Tahoma" w:cs="Tahoma"/>
          <w:sz w:val="20"/>
          <w:szCs w:val="20"/>
          <w:lang w:val="en-GB"/>
        </w:rPr>
        <w:t>The European Commission</w:t>
      </w:r>
      <w:r w:rsidRPr="004869F0">
        <w:rPr>
          <w:rFonts w:ascii="Tahoma" w:hAnsi="Tahoma" w:cs="Tahoma"/>
          <w:sz w:val="20"/>
          <w:szCs w:val="20"/>
          <w:lang w:val="en-GB"/>
        </w:rPr>
        <w:t xml:space="preserve"> submit</w:t>
      </w:r>
      <w:r w:rsidR="009C16B9" w:rsidRPr="004869F0">
        <w:rPr>
          <w:rFonts w:ascii="Tahoma" w:hAnsi="Tahoma" w:cs="Tahoma"/>
          <w:sz w:val="20"/>
          <w:szCs w:val="20"/>
          <w:lang w:val="en-GB"/>
        </w:rPr>
        <w:t>ted</w:t>
      </w:r>
      <w:r w:rsidRPr="004869F0">
        <w:rPr>
          <w:rFonts w:ascii="Tahoma" w:hAnsi="Tahoma" w:cs="Tahoma"/>
          <w:sz w:val="20"/>
          <w:szCs w:val="20"/>
          <w:lang w:val="en-GB"/>
        </w:rPr>
        <w:t xml:space="preserve"> CETA to the Council for approval</w:t>
      </w:r>
      <w:r w:rsidR="009C16B9" w:rsidRPr="004869F0">
        <w:rPr>
          <w:rFonts w:ascii="Tahoma" w:hAnsi="Tahoma" w:cs="Tahoma"/>
          <w:sz w:val="20"/>
          <w:szCs w:val="20"/>
          <w:lang w:val="en-GB"/>
        </w:rPr>
        <w:t xml:space="preserve"> in </w:t>
      </w:r>
      <w:r w:rsidR="000220C9" w:rsidRPr="004869F0">
        <w:rPr>
          <w:rFonts w:ascii="Tahoma" w:hAnsi="Tahoma" w:cs="Tahoma"/>
          <w:sz w:val="20"/>
          <w:szCs w:val="20"/>
          <w:lang w:val="en-GB"/>
        </w:rPr>
        <w:t>July</w:t>
      </w:r>
      <w:r w:rsidR="00F20FD6">
        <w:rPr>
          <w:rFonts w:ascii="Tahoma" w:hAnsi="Tahoma" w:cs="Tahoma"/>
          <w:sz w:val="20"/>
          <w:szCs w:val="20"/>
          <w:lang w:val="en-GB"/>
        </w:rPr>
        <w:t xml:space="preserve"> this year</w:t>
      </w:r>
      <w:r w:rsidR="004C4059" w:rsidRPr="004869F0">
        <w:rPr>
          <w:rFonts w:ascii="Tahoma" w:hAnsi="Tahoma" w:cs="Tahoma"/>
          <w:sz w:val="20"/>
          <w:szCs w:val="20"/>
          <w:lang w:val="en-GB"/>
        </w:rPr>
        <w:t>. The European Commission proposed CETA as a mixed agreement to be provisionally applied after the Council’s approval and the consent of the European Parliament</w:t>
      </w:r>
      <w:r w:rsidR="00F20FD6">
        <w:rPr>
          <w:rFonts w:ascii="Tahoma" w:hAnsi="Tahoma" w:cs="Tahoma"/>
          <w:sz w:val="20"/>
          <w:szCs w:val="20"/>
          <w:lang w:val="en-GB"/>
        </w:rPr>
        <w:t xml:space="preserve"> (EP)</w:t>
      </w:r>
      <w:r w:rsidR="00D163D7" w:rsidRPr="004869F0">
        <w:rPr>
          <w:rFonts w:ascii="Tahoma" w:hAnsi="Tahoma" w:cs="Tahoma"/>
          <w:sz w:val="20"/>
          <w:szCs w:val="20"/>
          <w:lang w:val="en-GB"/>
        </w:rPr>
        <w:t xml:space="preserve"> has been received.</w:t>
      </w:r>
      <w:r w:rsidR="004F202B" w:rsidRPr="004869F0">
        <w:rPr>
          <w:rFonts w:ascii="Tahoma" w:hAnsi="Tahoma" w:cs="Tahoma"/>
          <w:sz w:val="20"/>
          <w:szCs w:val="20"/>
          <w:lang w:val="en-GB"/>
        </w:rPr>
        <w:t xml:space="preserve"> </w:t>
      </w:r>
      <w:r w:rsidR="00F20FD6" w:rsidRPr="00F20FD6">
        <w:rPr>
          <w:rFonts w:ascii="Tahoma" w:hAnsi="Tahoma" w:cs="Tahoma"/>
          <w:sz w:val="20"/>
          <w:szCs w:val="20"/>
          <w:lang w:val="en-GB"/>
        </w:rPr>
        <w:t xml:space="preserve">The consolidated legally scrubbed </w:t>
      </w:r>
      <w:hyperlink r:id="rId13" w:history="1">
        <w:r w:rsidR="00F20FD6" w:rsidRPr="00F20FD6">
          <w:rPr>
            <w:rStyle w:val="Hyperlink"/>
            <w:rFonts w:ascii="Tahoma" w:hAnsi="Tahoma" w:cs="Tahoma"/>
            <w:sz w:val="20"/>
            <w:szCs w:val="20"/>
            <w:lang w:val="en-GB"/>
          </w:rPr>
          <w:t>CETA text</w:t>
        </w:r>
      </w:hyperlink>
      <w:r w:rsidR="00F20FD6" w:rsidRPr="00F20FD6">
        <w:rPr>
          <w:rFonts w:ascii="Tahoma" w:hAnsi="Tahoma" w:cs="Tahoma"/>
          <w:sz w:val="20"/>
          <w:szCs w:val="20"/>
          <w:lang w:val="en-GB"/>
        </w:rPr>
        <w:t xml:space="preserve"> has been published on EC website in all official EU languages. </w:t>
      </w:r>
      <w:r w:rsidRPr="004869F0">
        <w:rPr>
          <w:rFonts w:ascii="Tahoma" w:hAnsi="Tahoma" w:cs="Tahoma"/>
          <w:sz w:val="20"/>
          <w:szCs w:val="20"/>
          <w:lang w:val="en-GB"/>
        </w:rPr>
        <w:t xml:space="preserve">The Canadian government is promoting CETA, however it is much more open to meetings and consultations with unions than the previous government. The ratification process is </w:t>
      </w:r>
      <w:r w:rsidR="004869F0" w:rsidRPr="004869F0">
        <w:rPr>
          <w:rFonts w:ascii="Tahoma" w:hAnsi="Tahoma" w:cs="Tahoma"/>
          <w:sz w:val="20"/>
          <w:szCs w:val="20"/>
          <w:lang w:val="en-GB"/>
        </w:rPr>
        <w:t>expected to be quick in Canada as the Canadian Constitution gives the federal government sole jurisdiction over the regulation of trade and commerce.</w:t>
      </w:r>
      <w:r w:rsidRPr="004869F0">
        <w:rPr>
          <w:rFonts w:ascii="Tahoma" w:hAnsi="Tahoma" w:cs="Tahoma"/>
          <w:sz w:val="20"/>
          <w:szCs w:val="20"/>
          <w:lang w:val="en-GB"/>
        </w:rPr>
        <w:t xml:space="preserve"> </w:t>
      </w:r>
    </w:p>
    <w:p w14:paraId="2992C8DE" w14:textId="77777777" w:rsidR="00D61F3B" w:rsidRPr="00806CA2" w:rsidRDefault="00D61F3B" w:rsidP="00596913">
      <w:pPr>
        <w:rPr>
          <w:rFonts w:ascii="Tahoma" w:hAnsi="Tahoma" w:cs="Tahoma"/>
          <w:sz w:val="20"/>
          <w:szCs w:val="20"/>
          <w:lang w:val="en-GB"/>
        </w:rPr>
      </w:pPr>
    </w:p>
    <w:p w14:paraId="7F30A8AA" w14:textId="11CF1DEF" w:rsidR="00D61F3B" w:rsidRDefault="00D61F3B" w:rsidP="00596913">
      <w:pPr>
        <w:rPr>
          <w:rFonts w:ascii="Tahoma" w:hAnsi="Tahoma" w:cs="Tahoma"/>
          <w:sz w:val="20"/>
          <w:szCs w:val="20"/>
          <w:lang w:val="en-GB"/>
        </w:rPr>
      </w:pPr>
      <w:r w:rsidRPr="00806CA2">
        <w:rPr>
          <w:rFonts w:ascii="Tahoma" w:hAnsi="Tahoma" w:cs="Tahoma"/>
          <w:sz w:val="20"/>
          <w:szCs w:val="20"/>
          <w:lang w:val="en-GB"/>
        </w:rPr>
        <w:t xml:space="preserve">The CETA </w:t>
      </w:r>
      <w:r>
        <w:rPr>
          <w:rFonts w:ascii="Tahoma" w:hAnsi="Tahoma" w:cs="Tahoma"/>
          <w:sz w:val="20"/>
          <w:szCs w:val="20"/>
          <w:lang w:val="en-GB"/>
        </w:rPr>
        <w:t xml:space="preserve">agreement is the template </w:t>
      </w:r>
      <w:r w:rsidR="00B351C1">
        <w:rPr>
          <w:rFonts w:ascii="Tahoma" w:hAnsi="Tahoma" w:cs="Tahoma"/>
          <w:sz w:val="20"/>
          <w:szCs w:val="20"/>
          <w:lang w:val="en-GB"/>
        </w:rPr>
        <w:t xml:space="preserve">for the more contentious </w:t>
      </w:r>
      <w:r w:rsidRPr="00806CA2">
        <w:rPr>
          <w:rFonts w:ascii="Tahoma" w:hAnsi="Tahoma" w:cs="Tahoma"/>
          <w:sz w:val="20"/>
          <w:szCs w:val="20"/>
          <w:lang w:val="en-GB"/>
        </w:rPr>
        <w:t>TTIP (Transatlantic Trade and Inves</w:t>
      </w:r>
      <w:r w:rsidR="00B351C1">
        <w:rPr>
          <w:rFonts w:ascii="Tahoma" w:hAnsi="Tahoma" w:cs="Tahoma"/>
          <w:sz w:val="20"/>
          <w:szCs w:val="20"/>
          <w:lang w:val="en-GB"/>
        </w:rPr>
        <w:t>tment Partnership) negotiations. CETA is therefore also a test case for other similar trade agreements</w:t>
      </w:r>
      <w:r w:rsidR="00A336FB">
        <w:rPr>
          <w:rFonts w:ascii="Tahoma" w:hAnsi="Tahoma" w:cs="Tahoma"/>
          <w:sz w:val="20"/>
          <w:szCs w:val="20"/>
          <w:lang w:val="en-GB"/>
        </w:rPr>
        <w:t>, including TTIP,</w:t>
      </w:r>
      <w:r w:rsidR="00B351C1">
        <w:rPr>
          <w:rFonts w:ascii="Tahoma" w:hAnsi="Tahoma" w:cs="Tahoma"/>
          <w:sz w:val="20"/>
          <w:szCs w:val="20"/>
          <w:lang w:val="en-GB"/>
        </w:rPr>
        <w:t xml:space="preserve"> being negotiated at the moment. Accordingly, it </w:t>
      </w:r>
      <w:r w:rsidR="00BD5979">
        <w:rPr>
          <w:rFonts w:ascii="Tahoma" w:hAnsi="Tahoma" w:cs="Tahoma"/>
          <w:sz w:val="20"/>
          <w:szCs w:val="20"/>
          <w:lang w:val="en-GB"/>
        </w:rPr>
        <w:t>would be</w:t>
      </w:r>
      <w:r w:rsidR="00A336FB">
        <w:rPr>
          <w:rFonts w:ascii="Tahoma" w:hAnsi="Tahoma" w:cs="Tahoma"/>
          <w:sz w:val="20"/>
          <w:szCs w:val="20"/>
          <w:lang w:val="en-GB"/>
        </w:rPr>
        <w:t xml:space="preserve"> difficult to argue against TTIP</w:t>
      </w:r>
      <w:r w:rsidR="008463A1">
        <w:rPr>
          <w:rFonts w:ascii="Tahoma" w:hAnsi="Tahoma" w:cs="Tahoma"/>
          <w:sz w:val="20"/>
          <w:szCs w:val="20"/>
          <w:lang w:val="en-GB"/>
        </w:rPr>
        <w:t xml:space="preserve"> and</w:t>
      </w:r>
      <w:r w:rsidR="00BD5979">
        <w:rPr>
          <w:rFonts w:ascii="Tahoma" w:hAnsi="Tahoma" w:cs="Tahoma"/>
          <w:sz w:val="20"/>
          <w:szCs w:val="20"/>
          <w:lang w:val="en-GB"/>
        </w:rPr>
        <w:t xml:space="preserve"> other similar agreements</w:t>
      </w:r>
      <w:r w:rsidR="00A336FB">
        <w:rPr>
          <w:rFonts w:ascii="Tahoma" w:hAnsi="Tahoma" w:cs="Tahoma"/>
          <w:sz w:val="20"/>
          <w:szCs w:val="20"/>
          <w:lang w:val="en-GB"/>
        </w:rPr>
        <w:t xml:space="preserve"> if CETA is</w:t>
      </w:r>
      <w:r>
        <w:rPr>
          <w:rFonts w:ascii="Tahoma" w:hAnsi="Tahoma" w:cs="Tahoma"/>
          <w:sz w:val="20"/>
          <w:szCs w:val="20"/>
          <w:lang w:val="en-GB"/>
        </w:rPr>
        <w:t xml:space="preserve"> ratified</w:t>
      </w:r>
      <w:r w:rsidR="002D06A8">
        <w:rPr>
          <w:rFonts w:ascii="Tahoma" w:hAnsi="Tahoma" w:cs="Tahoma"/>
          <w:sz w:val="20"/>
          <w:szCs w:val="20"/>
          <w:lang w:val="en-GB"/>
        </w:rPr>
        <w:t>.</w:t>
      </w:r>
      <w:r>
        <w:rPr>
          <w:rFonts w:ascii="Tahoma" w:hAnsi="Tahoma" w:cs="Tahoma"/>
          <w:sz w:val="20"/>
          <w:szCs w:val="20"/>
          <w:lang w:val="en-GB"/>
        </w:rPr>
        <w:t xml:space="preserve"> CETA </w:t>
      </w:r>
      <w:r w:rsidR="002D06A8">
        <w:rPr>
          <w:rFonts w:ascii="Tahoma" w:hAnsi="Tahoma" w:cs="Tahoma"/>
          <w:sz w:val="20"/>
          <w:szCs w:val="20"/>
          <w:lang w:val="en-GB"/>
        </w:rPr>
        <w:t xml:space="preserve">itself </w:t>
      </w:r>
      <w:r>
        <w:rPr>
          <w:rFonts w:ascii="Tahoma" w:hAnsi="Tahoma" w:cs="Tahoma"/>
          <w:sz w:val="20"/>
          <w:szCs w:val="20"/>
          <w:lang w:val="en-GB"/>
        </w:rPr>
        <w:t>incl</w:t>
      </w:r>
      <w:r w:rsidR="002D06A8">
        <w:rPr>
          <w:rFonts w:ascii="Tahoma" w:hAnsi="Tahoma" w:cs="Tahoma"/>
          <w:sz w:val="20"/>
          <w:szCs w:val="20"/>
          <w:lang w:val="en-GB"/>
        </w:rPr>
        <w:t>udes a number of issues of serious</w:t>
      </w:r>
      <w:r>
        <w:rPr>
          <w:rFonts w:ascii="Tahoma" w:hAnsi="Tahoma" w:cs="Tahoma"/>
          <w:sz w:val="20"/>
          <w:szCs w:val="20"/>
          <w:lang w:val="en-GB"/>
        </w:rPr>
        <w:t xml:space="preserve"> concern</w:t>
      </w:r>
      <w:r w:rsidR="002D06A8">
        <w:rPr>
          <w:rFonts w:ascii="Tahoma" w:hAnsi="Tahoma" w:cs="Tahoma"/>
          <w:sz w:val="20"/>
          <w:szCs w:val="20"/>
          <w:lang w:val="en-GB"/>
        </w:rPr>
        <w:t xml:space="preserve"> in general and for the provision of public services, including education</w:t>
      </w:r>
      <w:r w:rsidR="008463A1">
        <w:rPr>
          <w:rFonts w:ascii="Tahoma" w:hAnsi="Tahoma" w:cs="Tahoma"/>
          <w:sz w:val="20"/>
          <w:szCs w:val="20"/>
          <w:lang w:val="en-GB"/>
        </w:rPr>
        <w:t>, in particular</w:t>
      </w:r>
      <w:r>
        <w:rPr>
          <w:rFonts w:ascii="Tahoma" w:hAnsi="Tahoma" w:cs="Tahoma"/>
          <w:sz w:val="20"/>
          <w:szCs w:val="20"/>
          <w:lang w:val="en-GB"/>
        </w:rPr>
        <w:t>.</w:t>
      </w:r>
      <w:r w:rsidRPr="00806CA2">
        <w:rPr>
          <w:rFonts w:ascii="Tahoma" w:hAnsi="Tahoma" w:cs="Tahoma"/>
          <w:sz w:val="20"/>
          <w:szCs w:val="20"/>
          <w:lang w:val="en-GB"/>
        </w:rPr>
        <w:t xml:space="preserve"> CETA includes, among other things, the controversial</w:t>
      </w:r>
      <w:r w:rsidR="008463A1">
        <w:rPr>
          <w:rFonts w:ascii="Tahoma" w:hAnsi="Tahoma" w:cs="Tahoma"/>
          <w:sz w:val="20"/>
          <w:szCs w:val="20"/>
          <w:lang w:val="en-GB"/>
        </w:rPr>
        <w:t>, but reformed</w:t>
      </w:r>
      <w:r w:rsidRPr="00806CA2">
        <w:rPr>
          <w:rFonts w:ascii="Tahoma" w:hAnsi="Tahoma" w:cs="Tahoma"/>
          <w:sz w:val="20"/>
          <w:szCs w:val="20"/>
          <w:lang w:val="en-GB"/>
        </w:rPr>
        <w:t xml:space="preserve"> ISDS (Investor-State Dispute Settlement) mechanism</w:t>
      </w:r>
      <w:r w:rsidR="008463A1">
        <w:rPr>
          <w:rFonts w:ascii="Tahoma" w:hAnsi="Tahoma" w:cs="Tahoma"/>
          <w:sz w:val="20"/>
          <w:szCs w:val="20"/>
          <w:lang w:val="en-GB"/>
        </w:rPr>
        <w:t xml:space="preserve"> renamed as the </w:t>
      </w:r>
      <w:r w:rsidR="00227FC1">
        <w:rPr>
          <w:rFonts w:ascii="Tahoma" w:hAnsi="Tahoma" w:cs="Tahoma"/>
          <w:sz w:val="20"/>
          <w:szCs w:val="20"/>
          <w:lang w:val="en-GB"/>
        </w:rPr>
        <w:t>investment court system</w:t>
      </w:r>
      <w:r>
        <w:rPr>
          <w:rFonts w:ascii="Tahoma" w:hAnsi="Tahoma" w:cs="Tahoma"/>
          <w:sz w:val="20"/>
          <w:szCs w:val="20"/>
          <w:lang w:val="en-GB"/>
        </w:rPr>
        <w:t>, the</w:t>
      </w:r>
      <w:r w:rsidRPr="00806CA2">
        <w:rPr>
          <w:rFonts w:ascii="Tahoma" w:hAnsi="Tahoma" w:cs="Tahoma"/>
          <w:sz w:val="20"/>
          <w:szCs w:val="20"/>
          <w:lang w:val="en-GB"/>
        </w:rPr>
        <w:t xml:space="preserve"> standstill and “ratchet” </w:t>
      </w:r>
      <w:r w:rsidRPr="00806CA2">
        <w:rPr>
          <w:rFonts w:ascii="Tahoma" w:hAnsi="Tahoma" w:cs="Tahoma"/>
          <w:sz w:val="20"/>
          <w:szCs w:val="20"/>
          <w:lang w:val="en-GB"/>
        </w:rPr>
        <w:lastRenderedPageBreak/>
        <w:t xml:space="preserve">clause that lock-in existing levels of liberalisation, new restrictions on regulatory measures, and new rules on government procurement. Services are a major component in CETA and this part </w:t>
      </w:r>
      <w:r w:rsidR="00227FC1">
        <w:rPr>
          <w:rFonts w:ascii="Tahoma" w:hAnsi="Tahoma" w:cs="Tahoma"/>
          <w:sz w:val="20"/>
          <w:szCs w:val="20"/>
          <w:lang w:val="en-GB"/>
        </w:rPr>
        <w:t>of the agreement took</w:t>
      </w:r>
      <w:r w:rsidRPr="00806CA2">
        <w:rPr>
          <w:rFonts w:ascii="Tahoma" w:hAnsi="Tahoma" w:cs="Tahoma"/>
          <w:sz w:val="20"/>
          <w:szCs w:val="20"/>
          <w:lang w:val="en-GB"/>
        </w:rPr>
        <w:t xml:space="preserve"> considerable time to negotiate. The EU has made significant commitments in privately funded education services, even if the com</w:t>
      </w:r>
      <w:r w:rsidR="00484D4E">
        <w:rPr>
          <w:rFonts w:ascii="Tahoma" w:hAnsi="Tahoma" w:cs="Tahoma"/>
          <w:sz w:val="20"/>
          <w:szCs w:val="20"/>
          <w:lang w:val="en-GB"/>
        </w:rPr>
        <w:t>mitments vary slightly between Member S</w:t>
      </w:r>
      <w:r w:rsidRPr="00806CA2">
        <w:rPr>
          <w:rFonts w:ascii="Tahoma" w:hAnsi="Tahoma" w:cs="Tahoma"/>
          <w:sz w:val="20"/>
          <w:szCs w:val="20"/>
          <w:lang w:val="en-GB"/>
        </w:rPr>
        <w:t>tates because of specific exemptions take</w:t>
      </w:r>
      <w:r w:rsidR="00484D4E">
        <w:rPr>
          <w:rFonts w:ascii="Tahoma" w:hAnsi="Tahoma" w:cs="Tahoma"/>
          <w:sz w:val="20"/>
          <w:szCs w:val="20"/>
          <w:lang w:val="en-GB"/>
        </w:rPr>
        <w:t>n. As a result, the EU and its Member S</w:t>
      </w:r>
      <w:r w:rsidRPr="00806CA2">
        <w:rPr>
          <w:rFonts w:ascii="Tahoma" w:hAnsi="Tahoma" w:cs="Tahoma"/>
          <w:sz w:val="20"/>
          <w:szCs w:val="20"/>
          <w:lang w:val="en-GB"/>
        </w:rPr>
        <w:t>tates are effectively opening the door to foreign for-profit education providers and are extending new rights to private investors that go beyond any existing trade commitments. A related problem of including privately funded education</w:t>
      </w:r>
      <w:r w:rsidR="00300CB4">
        <w:rPr>
          <w:rFonts w:ascii="Tahoma" w:hAnsi="Tahoma" w:cs="Tahoma"/>
          <w:sz w:val="20"/>
          <w:szCs w:val="20"/>
          <w:lang w:val="en-GB"/>
        </w:rPr>
        <w:t xml:space="preserve"> services into trade </w:t>
      </w:r>
      <w:r w:rsidR="006E0ADD">
        <w:rPr>
          <w:rFonts w:ascii="Tahoma" w:hAnsi="Tahoma" w:cs="Tahoma"/>
          <w:sz w:val="20"/>
          <w:szCs w:val="20"/>
          <w:lang w:val="en-GB"/>
        </w:rPr>
        <w:t xml:space="preserve">agreements </w:t>
      </w:r>
      <w:r w:rsidR="006E0ADD" w:rsidRPr="00806CA2">
        <w:rPr>
          <w:rFonts w:ascii="Tahoma" w:hAnsi="Tahoma" w:cs="Tahoma"/>
          <w:sz w:val="20"/>
          <w:szCs w:val="20"/>
          <w:lang w:val="en-GB"/>
        </w:rPr>
        <w:t>originate</w:t>
      </w:r>
      <w:r w:rsidRPr="00806CA2">
        <w:rPr>
          <w:rFonts w:ascii="Tahoma" w:hAnsi="Tahoma" w:cs="Tahoma"/>
          <w:sz w:val="20"/>
          <w:szCs w:val="20"/>
          <w:lang w:val="en-GB"/>
        </w:rPr>
        <w:t xml:space="preserve"> from the mixed public and private characteristic of most education systems. Furthermore, there is not a single reference to any exception for public services or Services of General Interest from the scope of the agreement, only to governmental </w:t>
      </w:r>
      <w:r w:rsidR="006E0ADD" w:rsidRPr="00806CA2">
        <w:rPr>
          <w:rFonts w:ascii="Tahoma" w:hAnsi="Tahoma" w:cs="Tahoma"/>
          <w:sz w:val="20"/>
          <w:szCs w:val="20"/>
          <w:lang w:val="en-GB"/>
        </w:rPr>
        <w:t>authority that</w:t>
      </w:r>
      <w:r w:rsidRPr="00806CA2">
        <w:rPr>
          <w:rFonts w:ascii="Tahoma" w:hAnsi="Tahoma" w:cs="Tahoma"/>
          <w:sz w:val="20"/>
          <w:szCs w:val="20"/>
          <w:lang w:val="en-GB"/>
        </w:rPr>
        <w:t xml:space="preserve"> is not adequate to protect public services like education. Consequently, CETA threatens to lock-in and </w:t>
      </w:r>
      <w:r w:rsidR="004D6E2D">
        <w:rPr>
          <w:rFonts w:ascii="Tahoma" w:hAnsi="Tahoma" w:cs="Tahoma"/>
          <w:sz w:val="20"/>
          <w:szCs w:val="20"/>
          <w:lang w:val="en-GB"/>
        </w:rPr>
        <w:t xml:space="preserve">to </w:t>
      </w:r>
      <w:r w:rsidRPr="00806CA2">
        <w:rPr>
          <w:rFonts w:ascii="Tahoma" w:hAnsi="Tahoma" w:cs="Tahoma"/>
          <w:sz w:val="20"/>
          <w:szCs w:val="20"/>
          <w:lang w:val="en-GB"/>
        </w:rPr>
        <w:t xml:space="preserve">intensify the pressures of privatisation and commercialisation of education.    </w:t>
      </w:r>
    </w:p>
    <w:p w14:paraId="42E5D58D" w14:textId="761D3673" w:rsidR="00D61F3B" w:rsidRDefault="00D61F3B" w:rsidP="00596913">
      <w:pPr>
        <w:rPr>
          <w:rFonts w:ascii="Tahoma" w:hAnsi="Tahoma" w:cs="Tahoma"/>
          <w:sz w:val="20"/>
          <w:szCs w:val="20"/>
          <w:lang w:val="en-GB"/>
        </w:rPr>
      </w:pPr>
    </w:p>
    <w:p w14:paraId="0E7A809F" w14:textId="1632DB53" w:rsidR="00D61F3B" w:rsidRPr="00496D63" w:rsidRDefault="00D61F3B" w:rsidP="00596913">
      <w:pPr>
        <w:rPr>
          <w:rFonts w:ascii="Tahoma" w:hAnsi="Tahoma" w:cs="Tahoma"/>
          <w:sz w:val="20"/>
          <w:szCs w:val="20"/>
          <w:lang w:val="en-GB"/>
        </w:rPr>
      </w:pPr>
      <w:r>
        <w:rPr>
          <w:rFonts w:ascii="Tahoma" w:hAnsi="Tahoma" w:cs="Tahoma"/>
          <w:sz w:val="20"/>
          <w:szCs w:val="20"/>
          <w:lang w:val="en-GB"/>
        </w:rPr>
        <w:t xml:space="preserve">The EP adopted its </w:t>
      </w:r>
      <w:hyperlink r:id="rId14" w:history="1">
        <w:r w:rsidR="00A60F51">
          <w:rPr>
            <w:rStyle w:val="Hyperlink"/>
            <w:rFonts w:ascii="Tahoma" w:hAnsi="Tahoma" w:cs="Tahoma"/>
            <w:sz w:val="20"/>
            <w:szCs w:val="20"/>
            <w:lang w:val="en-GB"/>
          </w:rPr>
          <w:t>recommendations</w:t>
        </w:r>
      </w:hyperlink>
      <w:r w:rsidR="00A60F51">
        <w:rPr>
          <w:rStyle w:val="Hyperlink"/>
          <w:rFonts w:ascii="Tahoma" w:hAnsi="Tahoma" w:cs="Tahoma"/>
          <w:sz w:val="20"/>
          <w:szCs w:val="20"/>
          <w:lang w:val="en-GB"/>
        </w:rPr>
        <w:t xml:space="preserve"> on CETA</w:t>
      </w:r>
      <w:r>
        <w:rPr>
          <w:rFonts w:ascii="Tahoma" w:hAnsi="Tahoma" w:cs="Tahoma"/>
          <w:sz w:val="20"/>
          <w:szCs w:val="20"/>
          <w:lang w:val="en-GB"/>
        </w:rPr>
        <w:t xml:space="preserve"> in 2011 where it calls for a State-to-State dispute settlement mechanism and </w:t>
      </w:r>
      <w:r w:rsidR="001D6545">
        <w:rPr>
          <w:rFonts w:ascii="Tahoma" w:hAnsi="Tahoma" w:cs="Tahoma"/>
          <w:sz w:val="20"/>
          <w:szCs w:val="20"/>
          <w:lang w:val="en-GB"/>
        </w:rPr>
        <w:t xml:space="preserve">the use of local judicial remedies to address investment disputes given the developed legal systems of Canada and the EU. </w:t>
      </w:r>
      <w:r w:rsidR="007126F5">
        <w:rPr>
          <w:rFonts w:ascii="Tahoma" w:hAnsi="Tahoma" w:cs="Tahoma"/>
          <w:sz w:val="20"/>
          <w:szCs w:val="20"/>
          <w:lang w:val="en-GB"/>
        </w:rPr>
        <w:t>A</w:t>
      </w:r>
      <w:r w:rsidR="001D6545">
        <w:rPr>
          <w:rFonts w:ascii="Tahoma" w:hAnsi="Tahoma" w:cs="Tahoma"/>
          <w:sz w:val="20"/>
          <w:szCs w:val="20"/>
          <w:lang w:val="en-GB"/>
        </w:rPr>
        <w:t xml:space="preserve"> </w:t>
      </w:r>
      <w:hyperlink r:id="rId15" w:history="1">
        <w:r w:rsidR="008369E0" w:rsidRPr="008369E0">
          <w:rPr>
            <w:rStyle w:val="Hyperlink"/>
            <w:rFonts w:ascii="Tahoma" w:hAnsi="Tahoma" w:cs="Tahoma"/>
            <w:sz w:val="20"/>
            <w:szCs w:val="20"/>
            <w:lang w:val="en-GB"/>
          </w:rPr>
          <w:t>study</w:t>
        </w:r>
      </w:hyperlink>
      <w:r w:rsidR="008369E0">
        <w:rPr>
          <w:rFonts w:ascii="Tahoma" w:hAnsi="Tahoma" w:cs="Tahoma"/>
          <w:sz w:val="20"/>
          <w:szCs w:val="20"/>
          <w:lang w:val="en-GB"/>
        </w:rPr>
        <w:t xml:space="preserve"> </w:t>
      </w:r>
      <w:r w:rsidR="001D6545">
        <w:rPr>
          <w:rFonts w:ascii="Tahoma" w:hAnsi="Tahoma" w:cs="Tahoma"/>
          <w:sz w:val="20"/>
          <w:szCs w:val="20"/>
          <w:lang w:val="en-GB"/>
        </w:rPr>
        <w:t xml:space="preserve">comparing the CETA agreement with the EP’s TTIP recommendations demonstrates that CETA deviates </w:t>
      </w:r>
      <w:r w:rsidR="007126F5">
        <w:rPr>
          <w:rFonts w:ascii="Tahoma" w:hAnsi="Tahoma" w:cs="Tahoma"/>
          <w:sz w:val="20"/>
          <w:szCs w:val="20"/>
          <w:lang w:val="en-GB"/>
        </w:rPr>
        <w:t xml:space="preserve">significantly from the EP’s TTIP recommendations. </w:t>
      </w:r>
      <w:r w:rsidR="008369E0" w:rsidRPr="004869F0">
        <w:rPr>
          <w:rFonts w:ascii="Tahoma" w:hAnsi="Tahoma" w:cs="Tahoma"/>
          <w:sz w:val="20"/>
          <w:szCs w:val="20"/>
          <w:lang w:val="en-GB"/>
        </w:rPr>
        <w:t>The EP is waiting for the Council’s approval</w:t>
      </w:r>
      <w:r w:rsidR="008369E0">
        <w:rPr>
          <w:rFonts w:ascii="Tahoma" w:hAnsi="Tahoma" w:cs="Tahoma"/>
          <w:sz w:val="20"/>
          <w:szCs w:val="20"/>
          <w:lang w:val="en-GB"/>
        </w:rPr>
        <w:t xml:space="preserve"> of</w:t>
      </w:r>
      <w:r w:rsidR="008369E0" w:rsidRPr="004869F0">
        <w:rPr>
          <w:rFonts w:ascii="Tahoma" w:hAnsi="Tahoma" w:cs="Tahoma"/>
          <w:sz w:val="20"/>
          <w:szCs w:val="20"/>
          <w:lang w:val="en-GB"/>
        </w:rPr>
        <w:t xml:space="preserve"> CETA before it starts its own procedure. The EP debate on CET</w:t>
      </w:r>
      <w:r w:rsidR="008369E0">
        <w:rPr>
          <w:rFonts w:ascii="Tahoma" w:hAnsi="Tahoma" w:cs="Tahoma"/>
          <w:sz w:val="20"/>
          <w:szCs w:val="20"/>
          <w:lang w:val="en-GB"/>
        </w:rPr>
        <w:t>A may already begin</w:t>
      </w:r>
      <w:r w:rsidR="008369E0" w:rsidRPr="004869F0">
        <w:rPr>
          <w:rFonts w:ascii="Tahoma" w:hAnsi="Tahoma" w:cs="Tahoma"/>
          <w:sz w:val="20"/>
          <w:szCs w:val="20"/>
          <w:lang w:val="en-GB"/>
        </w:rPr>
        <w:t xml:space="preserve"> this autumn with a possible vote in early 2017.</w:t>
      </w:r>
    </w:p>
    <w:p w14:paraId="6A609231" w14:textId="77777777" w:rsidR="00806CA2" w:rsidRPr="00806CA2" w:rsidRDefault="00806CA2" w:rsidP="00596913">
      <w:pPr>
        <w:shd w:val="clear" w:color="auto" w:fill="FFFFFF"/>
        <w:rPr>
          <w:rFonts w:ascii="Tahoma" w:hAnsi="Tahoma" w:cs="Tahoma"/>
          <w:color w:val="000000"/>
          <w:sz w:val="20"/>
          <w:szCs w:val="20"/>
          <w:lang w:val="en-GB" w:eastAsia="en-GB" w:bidi="ar-SA"/>
        </w:rPr>
      </w:pPr>
    </w:p>
    <w:p w14:paraId="15D55C03" w14:textId="77777777" w:rsidR="00217E53" w:rsidRDefault="00496CE4" w:rsidP="00596913">
      <w:pPr>
        <w:pStyle w:val="ListParagraph"/>
        <w:numPr>
          <w:ilvl w:val="0"/>
          <w:numId w:val="34"/>
        </w:numPr>
        <w:rPr>
          <w:rFonts w:ascii="Tahoma" w:hAnsi="Tahoma" w:cs="Tahoma"/>
          <w:b/>
          <w:sz w:val="20"/>
          <w:szCs w:val="20"/>
          <w:lang w:val="en-GB"/>
        </w:rPr>
      </w:pPr>
      <w:r w:rsidRPr="00806CA2">
        <w:rPr>
          <w:rFonts w:ascii="Tahoma" w:hAnsi="Tahoma" w:cs="Tahoma"/>
          <w:b/>
          <w:sz w:val="20"/>
          <w:szCs w:val="20"/>
          <w:lang w:val="en-GB"/>
        </w:rPr>
        <w:t xml:space="preserve">Trade in Services Agreement (TiSA) </w:t>
      </w:r>
    </w:p>
    <w:p w14:paraId="35379C62" w14:textId="77777777" w:rsidR="00806CA2" w:rsidRPr="00806CA2" w:rsidRDefault="00806CA2" w:rsidP="00596913">
      <w:pPr>
        <w:pStyle w:val="ListParagraph"/>
        <w:ind w:left="360"/>
        <w:rPr>
          <w:rFonts w:ascii="Tahoma" w:hAnsi="Tahoma" w:cs="Tahoma"/>
          <w:b/>
          <w:sz w:val="20"/>
          <w:szCs w:val="20"/>
          <w:lang w:val="en-GB"/>
        </w:rPr>
      </w:pPr>
    </w:p>
    <w:p w14:paraId="31772568" w14:textId="373D5EDD" w:rsidR="00512E66" w:rsidRPr="00280839" w:rsidRDefault="00496CE4" w:rsidP="00596913">
      <w:pPr>
        <w:rPr>
          <w:rFonts w:ascii="Tahoma" w:hAnsi="Tahoma" w:cs="Tahoma"/>
          <w:sz w:val="20"/>
          <w:szCs w:val="20"/>
        </w:rPr>
      </w:pPr>
      <w:r w:rsidRPr="00806CA2">
        <w:rPr>
          <w:rFonts w:ascii="Tahoma" w:hAnsi="Tahoma" w:cs="Tahoma"/>
          <w:sz w:val="20"/>
          <w:szCs w:val="20"/>
          <w:lang w:val="en-GB"/>
        </w:rPr>
        <w:t>The negotiations on the Trade in Services Agreement (TiSA) were proposed by the</w:t>
      </w:r>
      <w:r w:rsidR="0086042B">
        <w:rPr>
          <w:rFonts w:ascii="Tahoma" w:hAnsi="Tahoma" w:cs="Tahoma"/>
          <w:sz w:val="20"/>
          <w:szCs w:val="20"/>
          <w:lang w:val="en-GB"/>
        </w:rPr>
        <w:t xml:space="preserve"> US and Australia in early 2012</w:t>
      </w:r>
      <w:r w:rsidR="00EE0376">
        <w:rPr>
          <w:rFonts w:ascii="Tahoma" w:hAnsi="Tahoma" w:cs="Tahoma"/>
          <w:sz w:val="20"/>
          <w:szCs w:val="20"/>
          <w:lang w:val="en-GB"/>
        </w:rPr>
        <w:t xml:space="preserve"> and began in 2013.</w:t>
      </w:r>
      <w:r w:rsidRPr="00806CA2">
        <w:rPr>
          <w:rFonts w:ascii="Tahoma" w:hAnsi="Tahoma" w:cs="Tahoma"/>
          <w:sz w:val="20"/>
          <w:szCs w:val="20"/>
          <w:lang w:val="en-GB"/>
        </w:rPr>
        <w:t xml:space="preserve"> TiSA negotiations arose in response to the ongoing impasse in WTO </w:t>
      </w:r>
      <w:r w:rsidR="00484D4E">
        <w:rPr>
          <w:rFonts w:ascii="Tahoma" w:hAnsi="Tahoma" w:cs="Tahoma"/>
          <w:sz w:val="20"/>
          <w:szCs w:val="20"/>
          <w:lang w:val="en-GB"/>
        </w:rPr>
        <w:t>negotiations</w:t>
      </w:r>
      <w:r w:rsidRPr="00806CA2">
        <w:rPr>
          <w:rFonts w:ascii="Tahoma" w:hAnsi="Tahoma" w:cs="Tahoma"/>
          <w:sz w:val="20"/>
          <w:szCs w:val="20"/>
          <w:lang w:val="en-GB"/>
        </w:rPr>
        <w:t>, including talks to expand the General Agreement on Trade in Services (GATS). The participants call themselves the "Really Good Friends of Services" and are the strongest advocates of service liberalisation.</w:t>
      </w:r>
      <w:r w:rsidR="0086042B">
        <w:rPr>
          <w:rFonts w:ascii="Tahoma" w:hAnsi="Tahoma" w:cs="Tahoma"/>
          <w:sz w:val="20"/>
          <w:szCs w:val="20"/>
          <w:lang w:val="en-GB"/>
        </w:rPr>
        <w:t xml:space="preserve"> </w:t>
      </w:r>
      <w:r w:rsidR="00502684">
        <w:rPr>
          <w:rFonts w:ascii="Tahoma" w:hAnsi="Tahoma" w:cs="Tahoma"/>
          <w:sz w:val="20"/>
          <w:szCs w:val="20"/>
          <w:lang w:val="en-GB"/>
        </w:rPr>
        <w:t xml:space="preserve">20 rounds of negotiations have taken place since so far. The </w:t>
      </w:r>
      <w:r w:rsidR="00EE0376">
        <w:rPr>
          <w:rFonts w:ascii="Tahoma" w:hAnsi="Tahoma" w:cs="Tahoma"/>
          <w:sz w:val="20"/>
          <w:szCs w:val="20"/>
          <w:lang w:val="en-GB"/>
        </w:rPr>
        <w:t>last round of negotiations took place in the week of 19 September</w:t>
      </w:r>
      <w:r w:rsidR="002E51A3">
        <w:rPr>
          <w:rFonts w:ascii="Tahoma" w:hAnsi="Tahoma" w:cs="Tahoma"/>
          <w:sz w:val="20"/>
          <w:szCs w:val="20"/>
          <w:lang w:val="en-GB"/>
        </w:rPr>
        <w:t>. T</w:t>
      </w:r>
      <w:r w:rsidR="00EE0376">
        <w:rPr>
          <w:rFonts w:ascii="Tahoma" w:hAnsi="Tahoma" w:cs="Tahoma"/>
          <w:sz w:val="20"/>
          <w:szCs w:val="20"/>
          <w:lang w:val="en-GB"/>
        </w:rPr>
        <w:t xml:space="preserve">he </w:t>
      </w:r>
      <w:r w:rsidR="00502684">
        <w:rPr>
          <w:rFonts w:ascii="Tahoma" w:hAnsi="Tahoma" w:cs="Tahoma"/>
          <w:sz w:val="20"/>
          <w:szCs w:val="20"/>
          <w:lang w:val="en-GB"/>
        </w:rPr>
        <w:t>next round of negotiation</w:t>
      </w:r>
      <w:r w:rsidR="002E51A3">
        <w:rPr>
          <w:rFonts w:ascii="Tahoma" w:hAnsi="Tahoma" w:cs="Tahoma"/>
          <w:sz w:val="20"/>
          <w:szCs w:val="20"/>
          <w:lang w:val="en-GB"/>
        </w:rPr>
        <w:t>s was originally</w:t>
      </w:r>
      <w:r w:rsidR="00502684">
        <w:rPr>
          <w:rFonts w:ascii="Tahoma" w:hAnsi="Tahoma" w:cs="Tahoma"/>
          <w:sz w:val="20"/>
          <w:szCs w:val="20"/>
          <w:lang w:val="en-GB"/>
        </w:rPr>
        <w:t xml:space="preserve"> scheduled for the </w:t>
      </w:r>
      <w:r w:rsidR="002E51A3">
        <w:rPr>
          <w:rFonts w:ascii="Tahoma" w:hAnsi="Tahoma" w:cs="Tahoma"/>
          <w:sz w:val="20"/>
          <w:szCs w:val="20"/>
          <w:lang w:val="en-GB"/>
        </w:rPr>
        <w:t>week of 7 November, however in an attempt to finish the negotiations before the end of the Obama administration the Parties are now aiming to conclude the agreement by 5-6 December with a round of negotiations in mid-October.</w:t>
      </w:r>
      <w:r w:rsidR="00502684">
        <w:rPr>
          <w:rFonts w:ascii="Tahoma" w:hAnsi="Tahoma" w:cs="Tahoma"/>
          <w:sz w:val="20"/>
          <w:szCs w:val="20"/>
          <w:lang w:val="en-GB"/>
        </w:rPr>
        <w:t xml:space="preserve"> </w:t>
      </w:r>
      <w:r w:rsidR="0061771C" w:rsidRPr="00806CA2">
        <w:rPr>
          <w:rFonts w:ascii="Tahoma" w:hAnsi="Tahoma" w:cs="Tahoma"/>
          <w:sz w:val="20"/>
          <w:szCs w:val="20"/>
          <w:lang w:val="en-GB"/>
        </w:rPr>
        <w:t xml:space="preserve">The negotiations </w:t>
      </w:r>
      <w:r w:rsidR="00EE0376">
        <w:rPr>
          <w:rFonts w:ascii="Tahoma" w:hAnsi="Tahoma" w:cs="Tahoma"/>
          <w:sz w:val="20"/>
          <w:szCs w:val="20"/>
          <w:lang w:val="en-GB"/>
        </w:rPr>
        <w:t>had initially drawn</w:t>
      </w:r>
      <w:r w:rsidR="00570AC6" w:rsidRPr="00806CA2">
        <w:rPr>
          <w:rFonts w:ascii="Tahoma" w:hAnsi="Tahoma" w:cs="Tahoma"/>
          <w:sz w:val="20"/>
          <w:szCs w:val="20"/>
          <w:lang w:val="en-GB"/>
        </w:rPr>
        <w:t xml:space="preserve"> ou</w:t>
      </w:r>
      <w:r w:rsidR="00C969FB">
        <w:rPr>
          <w:rFonts w:ascii="Tahoma" w:hAnsi="Tahoma" w:cs="Tahoma"/>
          <w:sz w:val="20"/>
          <w:szCs w:val="20"/>
          <w:lang w:val="en-GB"/>
        </w:rPr>
        <w:t xml:space="preserve">t, however </w:t>
      </w:r>
      <w:r w:rsidR="00196265">
        <w:rPr>
          <w:rFonts w:ascii="Tahoma" w:hAnsi="Tahoma" w:cs="Tahoma"/>
          <w:sz w:val="20"/>
          <w:szCs w:val="20"/>
          <w:lang w:val="en-GB"/>
        </w:rPr>
        <w:t>a</w:t>
      </w:r>
      <w:r w:rsidR="00C969FB" w:rsidRPr="00C969FB">
        <w:rPr>
          <w:rFonts w:ascii="Tahoma" w:hAnsi="Tahoma" w:cs="Tahoma"/>
          <w:sz w:val="20"/>
          <w:szCs w:val="20"/>
          <w:lang w:val="en-GB"/>
        </w:rPr>
        <w:t xml:space="preserve">ccording to </w:t>
      </w:r>
      <w:hyperlink r:id="rId16" w:history="1">
        <w:r w:rsidR="00101DAF" w:rsidRPr="00101DAF">
          <w:rPr>
            <w:rStyle w:val="Hyperlink"/>
            <w:rFonts w:ascii="Tahoma" w:hAnsi="Tahoma" w:cs="Tahoma"/>
            <w:sz w:val="20"/>
            <w:szCs w:val="20"/>
            <w:lang w:val="en-GB"/>
          </w:rPr>
          <w:t>EC’s report of the 19</w:t>
        </w:r>
        <w:r w:rsidR="00101DAF" w:rsidRPr="00101DAF">
          <w:rPr>
            <w:rStyle w:val="Hyperlink"/>
            <w:rFonts w:ascii="Tahoma" w:hAnsi="Tahoma" w:cs="Tahoma"/>
            <w:sz w:val="20"/>
            <w:szCs w:val="20"/>
            <w:vertAlign w:val="superscript"/>
            <w:lang w:val="en-GB"/>
          </w:rPr>
          <w:t>th</w:t>
        </w:r>
        <w:r w:rsidR="00101DAF" w:rsidRPr="00101DAF">
          <w:rPr>
            <w:rStyle w:val="Hyperlink"/>
            <w:rFonts w:ascii="Tahoma" w:hAnsi="Tahoma" w:cs="Tahoma"/>
            <w:sz w:val="20"/>
            <w:szCs w:val="20"/>
            <w:lang w:val="en-GB"/>
          </w:rPr>
          <w:t xml:space="preserve"> round of negotiations</w:t>
        </w:r>
      </w:hyperlink>
      <w:r w:rsidR="00C969FB" w:rsidRPr="00C969FB">
        <w:rPr>
          <w:rFonts w:ascii="Tahoma" w:hAnsi="Tahoma" w:cs="Tahoma"/>
          <w:sz w:val="20"/>
          <w:szCs w:val="20"/>
          <w:lang w:val="en-GB"/>
        </w:rPr>
        <w:t xml:space="preserve"> </w:t>
      </w:r>
      <w:r w:rsidR="00101DAF">
        <w:rPr>
          <w:rFonts w:ascii="Tahoma" w:hAnsi="Tahoma" w:cs="Tahoma"/>
          <w:sz w:val="20"/>
          <w:szCs w:val="20"/>
          <w:lang w:val="en-GB"/>
        </w:rPr>
        <w:t>TiSA participants undertook a stocktaking exercise and updated the</w:t>
      </w:r>
      <w:r w:rsidR="00C969FB" w:rsidRPr="00C969FB">
        <w:rPr>
          <w:rFonts w:ascii="Tahoma" w:hAnsi="Tahoma" w:cs="Tahoma"/>
          <w:sz w:val="20"/>
          <w:szCs w:val="20"/>
          <w:lang w:val="en-GB"/>
        </w:rPr>
        <w:t xml:space="preserve"> work plan</w:t>
      </w:r>
      <w:r w:rsidR="00101DAF">
        <w:rPr>
          <w:rFonts w:ascii="Tahoma" w:hAnsi="Tahoma" w:cs="Tahoma"/>
          <w:sz w:val="20"/>
          <w:szCs w:val="20"/>
          <w:lang w:val="en-GB"/>
        </w:rPr>
        <w:t xml:space="preserve"> aiming at the conclusion </w:t>
      </w:r>
      <w:r w:rsidR="00484D4E">
        <w:rPr>
          <w:rFonts w:ascii="Tahoma" w:hAnsi="Tahoma" w:cs="Tahoma"/>
          <w:sz w:val="20"/>
          <w:szCs w:val="20"/>
          <w:lang w:val="en-GB"/>
        </w:rPr>
        <w:t xml:space="preserve">of the negotiations by the </w:t>
      </w:r>
      <w:r w:rsidR="00101DAF">
        <w:rPr>
          <w:rFonts w:ascii="Tahoma" w:hAnsi="Tahoma" w:cs="Tahoma"/>
          <w:sz w:val="20"/>
          <w:szCs w:val="20"/>
          <w:lang w:val="en-GB"/>
        </w:rPr>
        <w:t>e</w:t>
      </w:r>
      <w:r w:rsidR="00FD5024">
        <w:rPr>
          <w:rFonts w:ascii="Tahoma" w:hAnsi="Tahoma" w:cs="Tahoma"/>
          <w:sz w:val="20"/>
          <w:szCs w:val="20"/>
          <w:lang w:val="en-GB"/>
        </w:rPr>
        <w:t>n</w:t>
      </w:r>
      <w:r w:rsidR="00101DAF">
        <w:rPr>
          <w:rFonts w:ascii="Tahoma" w:hAnsi="Tahoma" w:cs="Tahoma"/>
          <w:sz w:val="20"/>
          <w:szCs w:val="20"/>
          <w:lang w:val="en-GB"/>
        </w:rPr>
        <w:t>d of the year. The revised offers tabled in May this year were discussed during the 19</w:t>
      </w:r>
      <w:r w:rsidR="00101DAF" w:rsidRPr="00101DAF">
        <w:rPr>
          <w:rFonts w:ascii="Tahoma" w:hAnsi="Tahoma" w:cs="Tahoma"/>
          <w:sz w:val="20"/>
          <w:szCs w:val="20"/>
          <w:vertAlign w:val="superscript"/>
          <w:lang w:val="en-GB"/>
        </w:rPr>
        <w:t>th</w:t>
      </w:r>
      <w:r w:rsidR="00101DAF">
        <w:rPr>
          <w:rFonts w:ascii="Tahoma" w:hAnsi="Tahoma" w:cs="Tahoma"/>
          <w:sz w:val="20"/>
          <w:szCs w:val="20"/>
          <w:lang w:val="en-GB"/>
        </w:rPr>
        <w:t xml:space="preserve"> round and a second revision of the offers are scheduled for October. Furthermore, some Parties presented complementary analyses in relation to private education, legal services and new services</w:t>
      </w:r>
      <w:r w:rsidR="00894463">
        <w:rPr>
          <w:rFonts w:ascii="Tahoma" w:hAnsi="Tahoma" w:cs="Tahoma"/>
          <w:sz w:val="20"/>
          <w:szCs w:val="20"/>
          <w:lang w:val="en-GB"/>
        </w:rPr>
        <w:t xml:space="preserve"> and mode 4.</w:t>
      </w:r>
      <w:r w:rsidR="0061771C" w:rsidRPr="00806CA2">
        <w:rPr>
          <w:rFonts w:ascii="Tahoma" w:hAnsi="Tahoma" w:cs="Tahoma"/>
          <w:sz w:val="20"/>
          <w:szCs w:val="20"/>
          <w:lang w:val="en-GB"/>
        </w:rPr>
        <w:t xml:space="preserve"> </w:t>
      </w:r>
      <w:r w:rsidRPr="00806CA2">
        <w:rPr>
          <w:rFonts w:ascii="Tahoma" w:hAnsi="Tahoma" w:cs="Tahoma"/>
          <w:sz w:val="20"/>
          <w:szCs w:val="20"/>
          <w:lang w:val="en-GB"/>
        </w:rPr>
        <w:t xml:space="preserve">The TiSA participants include the EU, Australia, Canada, Chile, Taiwan, Colombia, Costa Rica, Hong Kong, Iceland, Israel, Japan, Liechtenstein, Mauritius, Mexico, New Zealand, Norway, Pakistan, Panama, Peru, South Korea, Switzerland, Turkey and the US. </w:t>
      </w:r>
      <w:r w:rsidR="00280839" w:rsidRPr="00280839">
        <w:rPr>
          <w:rFonts w:ascii="Tahoma" w:hAnsi="Tahoma" w:cs="Tahoma"/>
          <w:sz w:val="20"/>
          <w:szCs w:val="20"/>
          <w:lang w:val="en-GB"/>
        </w:rPr>
        <w:t>Uruguay and Paraguay left the negotiations in 2015. In the case of Uruguay it was due to public opposition to the potential serious consequences of TiSA.</w:t>
      </w:r>
    </w:p>
    <w:p w14:paraId="42E2DD66" w14:textId="77777777" w:rsidR="00806CA2" w:rsidRPr="00806CA2" w:rsidRDefault="00806CA2" w:rsidP="00596913">
      <w:pPr>
        <w:rPr>
          <w:rFonts w:ascii="Tahoma" w:hAnsi="Tahoma" w:cs="Tahoma"/>
          <w:sz w:val="20"/>
          <w:szCs w:val="20"/>
          <w:lang w:val="en-GB"/>
        </w:rPr>
      </w:pPr>
    </w:p>
    <w:p w14:paraId="26C9D89C" w14:textId="52704ECC" w:rsidR="00562BBE" w:rsidRDefault="00635D83" w:rsidP="00596913">
      <w:pPr>
        <w:rPr>
          <w:rFonts w:ascii="Tahoma" w:hAnsi="Tahoma" w:cs="Tahoma"/>
          <w:sz w:val="20"/>
          <w:szCs w:val="20"/>
          <w:lang w:val="en-GB"/>
        </w:rPr>
      </w:pPr>
      <w:r w:rsidRPr="00806CA2">
        <w:rPr>
          <w:rFonts w:ascii="Tahoma" w:hAnsi="Tahoma" w:cs="Tahoma"/>
          <w:sz w:val="20"/>
          <w:szCs w:val="20"/>
          <w:lang w:val="en-GB"/>
        </w:rPr>
        <w:t xml:space="preserve">The negotiations are held in secret and details on the proposed TiSA are therefore very limited. However, following a number of TiSA leaks, the European Commission created a dedicated page on TiSA in an attempt to increase transparency. However, </w:t>
      </w:r>
      <w:r w:rsidR="006F07DB" w:rsidRPr="00806CA2">
        <w:rPr>
          <w:rFonts w:ascii="Tahoma" w:hAnsi="Tahoma" w:cs="Tahoma"/>
          <w:sz w:val="20"/>
          <w:szCs w:val="20"/>
          <w:lang w:val="en-GB"/>
        </w:rPr>
        <w:t>the fact remains that TiSA is one of the mos</w:t>
      </w:r>
      <w:r w:rsidR="00C344CD">
        <w:rPr>
          <w:rFonts w:ascii="Tahoma" w:hAnsi="Tahoma" w:cs="Tahoma"/>
          <w:sz w:val="20"/>
          <w:szCs w:val="20"/>
          <w:lang w:val="en-GB"/>
        </w:rPr>
        <w:t>t secret trade negotiations. In t</w:t>
      </w:r>
      <w:r w:rsidR="006F07DB" w:rsidRPr="00806CA2">
        <w:rPr>
          <w:rFonts w:ascii="Tahoma" w:hAnsi="Tahoma" w:cs="Tahoma"/>
          <w:sz w:val="20"/>
          <w:szCs w:val="20"/>
          <w:lang w:val="en-GB"/>
        </w:rPr>
        <w:t xml:space="preserve">he EU the </w:t>
      </w:r>
      <w:hyperlink r:id="rId17" w:history="1">
        <w:r w:rsidR="006F07DB" w:rsidRPr="00806CA2">
          <w:rPr>
            <w:rStyle w:val="Hyperlink"/>
            <w:rFonts w:ascii="Tahoma" w:hAnsi="Tahoma" w:cs="Tahoma"/>
            <w:sz w:val="20"/>
            <w:szCs w:val="20"/>
            <w:lang w:val="en-GB"/>
          </w:rPr>
          <w:t>TiSA mandate</w:t>
        </w:r>
      </w:hyperlink>
      <w:r w:rsidR="006F07DB" w:rsidRPr="00806CA2">
        <w:rPr>
          <w:rStyle w:val="Hyperlink"/>
          <w:rFonts w:ascii="Tahoma" w:hAnsi="Tahoma" w:cs="Tahoma"/>
          <w:sz w:val="20"/>
          <w:szCs w:val="20"/>
          <w:u w:val="none"/>
          <w:lang w:val="en-GB"/>
        </w:rPr>
        <w:t xml:space="preserve"> </w:t>
      </w:r>
      <w:r w:rsidR="006F07DB" w:rsidRPr="00806CA2">
        <w:rPr>
          <w:rFonts w:ascii="Tahoma" w:hAnsi="Tahoma" w:cs="Tahoma"/>
          <w:sz w:val="20"/>
          <w:szCs w:val="20"/>
          <w:lang w:val="en-GB"/>
        </w:rPr>
        <w:t>was only publish</w:t>
      </w:r>
      <w:r w:rsidR="00376BE4">
        <w:rPr>
          <w:rFonts w:ascii="Tahoma" w:hAnsi="Tahoma" w:cs="Tahoma"/>
          <w:sz w:val="20"/>
          <w:szCs w:val="20"/>
          <w:lang w:val="en-GB"/>
        </w:rPr>
        <w:t>ed</w:t>
      </w:r>
      <w:r w:rsidR="006F07DB" w:rsidRPr="00806CA2">
        <w:rPr>
          <w:rFonts w:ascii="Tahoma" w:hAnsi="Tahoma" w:cs="Tahoma"/>
          <w:sz w:val="20"/>
          <w:szCs w:val="20"/>
          <w:lang w:val="en-GB"/>
        </w:rPr>
        <w:t xml:space="preserve"> roughly 2 years after its adoption. </w:t>
      </w:r>
      <w:r w:rsidR="00136DC7">
        <w:rPr>
          <w:rFonts w:ascii="Tahoma" w:hAnsi="Tahoma" w:cs="Tahoma"/>
          <w:sz w:val="20"/>
          <w:szCs w:val="20"/>
          <w:lang w:val="en-GB"/>
        </w:rPr>
        <w:t xml:space="preserve">The EC has published </w:t>
      </w:r>
      <w:r w:rsidR="00441B89" w:rsidRPr="00806CA2">
        <w:rPr>
          <w:rFonts w:ascii="Tahoma" w:hAnsi="Tahoma" w:cs="Tahoma"/>
          <w:sz w:val="20"/>
          <w:szCs w:val="20"/>
          <w:lang w:val="en-GB"/>
        </w:rPr>
        <w:t>the EU’s initial service</w:t>
      </w:r>
      <w:r w:rsidR="00136DC7">
        <w:rPr>
          <w:rFonts w:ascii="Tahoma" w:hAnsi="Tahoma" w:cs="Tahoma"/>
          <w:sz w:val="20"/>
          <w:szCs w:val="20"/>
          <w:lang w:val="en-GB"/>
        </w:rPr>
        <w:t xml:space="preserve">s offer (2013) and the revised services offer (2016) on a </w:t>
      </w:r>
      <w:r w:rsidR="00136DC7" w:rsidRPr="00806CA2">
        <w:rPr>
          <w:rFonts w:ascii="Tahoma" w:hAnsi="Tahoma" w:cs="Tahoma"/>
          <w:sz w:val="20"/>
          <w:szCs w:val="20"/>
          <w:lang w:val="en-GB"/>
        </w:rPr>
        <w:t>dedicated TiSA page</w:t>
      </w:r>
      <w:r w:rsidR="00136DC7">
        <w:rPr>
          <w:rFonts w:ascii="Tahoma" w:hAnsi="Tahoma" w:cs="Tahoma"/>
          <w:sz w:val="20"/>
          <w:szCs w:val="20"/>
          <w:lang w:val="en-GB"/>
        </w:rPr>
        <w:t>. Both services offers</w:t>
      </w:r>
      <w:r w:rsidR="00441B89" w:rsidRPr="00806CA2">
        <w:rPr>
          <w:rFonts w:ascii="Tahoma" w:hAnsi="Tahoma" w:cs="Tahoma"/>
          <w:sz w:val="20"/>
          <w:szCs w:val="20"/>
          <w:lang w:val="en-GB"/>
        </w:rPr>
        <w:t xml:space="preserve"> includes significant commitments in privately-funded education services, even if the com</w:t>
      </w:r>
      <w:r w:rsidR="00136DC7">
        <w:rPr>
          <w:rFonts w:ascii="Tahoma" w:hAnsi="Tahoma" w:cs="Tahoma"/>
          <w:sz w:val="20"/>
          <w:szCs w:val="20"/>
          <w:lang w:val="en-GB"/>
        </w:rPr>
        <w:t>m</w:t>
      </w:r>
      <w:r w:rsidR="00FD5024">
        <w:rPr>
          <w:rFonts w:ascii="Tahoma" w:hAnsi="Tahoma" w:cs="Tahoma"/>
          <w:sz w:val="20"/>
          <w:szCs w:val="20"/>
          <w:lang w:val="en-GB"/>
        </w:rPr>
        <w:t>itments vary slightly between EU M</w:t>
      </w:r>
      <w:r w:rsidR="00441B89" w:rsidRPr="00806CA2">
        <w:rPr>
          <w:rFonts w:ascii="Tahoma" w:hAnsi="Tahoma" w:cs="Tahoma"/>
          <w:sz w:val="20"/>
          <w:szCs w:val="20"/>
          <w:lang w:val="en-GB"/>
        </w:rPr>
        <w:t xml:space="preserve">ember </w:t>
      </w:r>
      <w:r w:rsidR="00FD5024">
        <w:rPr>
          <w:rFonts w:ascii="Tahoma" w:hAnsi="Tahoma" w:cs="Tahoma"/>
          <w:sz w:val="20"/>
          <w:szCs w:val="20"/>
          <w:lang w:val="en-GB"/>
        </w:rPr>
        <w:t>S</w:t>
      </w:r>
      <w:r w:rsidR="00441B89" w:rsidRPr="00806CA2">
        <w:rPr>
          <w:rFonts w:ascii="Tahoma" w:hAnsi="Tahoma" w:cs="Tahoma"/>
          <w:sz w:val="20"/>
          <w:szCs w:val="20"/>
          <w:lang w:val="en-GB"/>
        </w:rPr>
        <w:t>tates because of specific exemptions take</w:t>
      </w:r>
      <w:r w:rsidR="00FD5024">
        <w:rPr>
          <w:rFonts w:ascii="Tahoma" w:hAnsi="Tahoma" w:cs="Tahoma"/>
          <w:sz w:val="20"/>
          <w:szCs w:val="20"/>
          <w:lang w:val="en-GB"/>
        </w:rPr>
        <w:t>n. As a result, the EU and its Member S</w:t>
      </w:r>
      <w:r w:rsidR="00441B89" w:rsidRPr="00806CA2">
        <w:rPr>
          <w:rFonts w:ascii="Tahoma" w:hAnsi="Tahoma" w:cs="Tahoma"/>
          <w:sz w:val="20"/>
          <w:szCs w:val="20"/>
          <w:lang w:val="en-GB"/>
        </w:rPr>
        <w:t>tates are effectively opening the door to foreign for-profit education providers.</w:t>
      </w:r>
      <w:r w:rsidR="00895801" w:rsidRPr="00806CA2">
        <w:rPr>
          <w:rFonts w:ascii="Tahoma" w:hAnsi="Tahoma" w:cs="Tahoma"/>
          <w:sz w:val="20"/>
          <w:szCs w:val="20"/>
          <w:lang w:val="en-GB"/>
        </w:rPr>
        <w:t xml:space="preserve"> </w:t>
      </w:r>
      <w:r w:rsidR="00FC166E" w:rsidRPr="00806CA2">
        <w:rPr>
          <w:rFonts w:ascii="Tahoma" w:hAnsi="Tahoma" w:cs="Tahoma"/>
          <w:sz w:val="20"/>
          <w:szCs w:val="20"/>
          <w:lang w:val="en-GB"/>
        </w:rPr>
        <w:t xml:space="preserve">It is </w:t>
      </w:r>
      <w:r w:rsidR="0025489D" w:rsidRPr="00806CA2">
        <w:rPr>
          <w:rFonts w:ascii="Tahoma" w:hAnsi="Tahoma" w:cs="Tahoma"/>
          <w:sz w:val="20"/>
          <w:szCs w:val="20"/>
          <w:lang w:val="en-GB"/>
        </w:rPr>
        <w:t>worrying that the European Commission</w:t>
      </w:r>
      <w:r w:rsidR="00FC166E" w:rsidRPr="00806CA2">
        <w:rPr>
          <w:rFonts w:ascii="Tahoma" w:hAnsi="Tahoma" w:cs="Tahoma"/>
          <w:sz w:val="20"/>
          <w:szCs w:val="20"/>
          <w:lang w:val="en-GB"/>
        </w:rPr>
        <w:t xml:space="preserve"> has requested Member States to reconsider and limits their reservations taken in CETA for TiSA (and TTIP) negotiations. </w:t>
      </w:r>
      <w:r w:rsidR="00895801" w:rsidRPr="00806CA2">
        <w:rPr>
          <w:rFonts w:ascii="Tahoma" w:hAnsi="Tahoma" w:cs="Tahoma"/>
          <w:sz w:val="20"/>
          <w:szCs w:val="20"/>
          <w:lang w:val="en-GB"/>
        </w:rPr>
        <w:t>I</w:t>
      </w:r>
      <w:r w:rsidR="00441B89" w:rsidRPr="00806CA2">
        <w:rPr>
          <w:rFonts w:ascii="Tahoma" w:hAnsi="Tahoma" w:cs="Tahoma"/>
          <w:sz w:val="20"/>
          <w:szCs w:val="20"/>
          <w:lang w:val="en-GB"/>
        </w:rPr>
        <w:t>n the EU’s proposed core text provisions there is not a single reference to any exception for public services or Services of General Interest from the scope of the agreement.</w:t>
      </w:r>
      <w:r w:rsidR="006F07DB" w:rsidRPr="00806CA2">
        <w:rPr>
          <w:rFonts w:ascii="Tahoma" w:hAnsi="Tahoma" w:cs="Tahoma"/>
          <w:sz w:val="20"/>
          <w:szCs w:val="20"/>
          <w:lang w:val="en-GB"/>
        </w:rPr>
        <w:t xml:space="preserve"> </w:t>
      </w:r>
      <w:r w:rsidR="00136DC7">
        <w:rPr>
          <w:rFonts w:ascii="Tahoma" w:hAnsi="Tahoma" w:cs="Tahoma"/>
          <w:sz w:val="20"/>
          <w:szCs w:val="20"/>
          <w:lang w:val="en-GB"/>
        </w:rPr>
        <w:t xml:space="preserve">In the EU’s revised services offer the definition of public education has been </w:t>
      </w:r>
      <w:r w:rsidR="00562BBE">
        <w:rPr>
          <w:rFonts w:ascii="Tahoma" w:hAnsi="Tahoma" w:cs="Tahoma"/>
          <w:sz w:val="20"/>
          <w:szCs w:val="20"/>
          <w:lang w:val="en-GB"/>
        </w:rPr>
        <w:t xml:space="preserve">changed and is now </w:t>
      </w:r>
      <w:r w:rsidR="00136DC7">
        <w:rPr>
          <w:rFonts w:ascii="Tahoma" w:hAnsi="Tahoma" w:cs="Tahoma"/>
          <w:sz w:val="20"/>
          <w:szCs w:val="20"/>
          <w:lang w:val="en-GB"/>
        </w:rPr>
        <w:t xml:space="preserve">aligned </w:t>
      </w:r>
      <w:r w:rsidR="00136DC7">
        <w:rPr>
          <w:rFonts w:ascii="Tahoma" w:hAnsi="Tahoma" w:cs="Tahoma"/>
          <w:sz w:val="20"/>
          <w:szCs w:val="20"/>
          <w:lang w:val="en-GB"/>
        </w:rPr>
        <w:lastRenderedPageBreak/>
        <w:t xml:space="preserve">with </w:t>
      </w:r>
      <w:r w:rsidR="00562BBE">
        <w:rPr>
          <w:rFonts w:ascii="Tahoma" w:hAnsi="Tahoma" w:cs="Tahoma"/>
          <w:sz w:val="20"/>
          <w:szCs w:val="20"/>
          <w:lang w:val="en-GB"/>
        </w:rPr>
        <w:t xml:space="preserve">the more </w:t>
      </w:r>
      <w:r w:rsidR="00895801" w:rsidRPr="00806CA2">
        <w:rPr>
          <w:rFonts w:ascii="Tahoma" w:hAnsi="Tahoma" w:cs="Tahoma"/>
          <w:sz w:val="20"/>
          <w:szCs w:val="20"/>
          <w:lang w:val="en-GB"/>
        </w:rPr>
        <w:t>comprehensive</w:t>
      </w:r>
      <w:r w:rsidR="00895801" w:rsidRPr="00806CA2">
        <w:rPr>
          <w:rStyle w:val="FootnoteReference"/>
          <w:rFonts w:ascii="Tahoma" w:hAnsi="Tahoma" w:cs="Tahoma"/>
          <w:sz w:val="20"/>
          <w:szCs w:val="20"/>
          <w:lang w:val="en-GB"/>
        </w:rPr>
        <w:footnoteReference w:id="1"/>
      </w:r>
      <w:r w:rsidR="00562BBE">
        <w:rPr>
          <w:rFonts w:ascii="Tahoma" w:hAnsi="Tahoma" w:cs="Tahoma"/>
          <w:sz w:val="20"/>
          <w:szCs w:val="20"/>
          <w:lang w:val="en-GB"/>
        </w:rPr>
        <w:t xml:space="preserve"> definition in CETA</w:t>
      </w:r>
      <w:r w:rsidR="00895801" w:rsidRPr="00806CA2">
        <w:rPr>
          <w:rFonts w:ascii="Tahoma" w:hAnsi="Tahoma" w:cs="Tahoma"/>
          <w:sz w:val="20"/>
          <w:szCs w:val="20"/>
          <w:lang w:val="en-GB"/>
        </w:rPr>
        <w:t xml:space="preserve">. </w:t>
      </w:r>
      <w:r w:rsidR="00FD5024">
        <w:rPr>
          <w:rFonts w:ascii="Tahoma" w:hAnsi="Tahoma" w:cs="Tahoma"/>
          <w:sz w:val="20"/>
          <w:szCs w:val="20"/>
          <w:lang w:val="en-GB"/>
        </w:rPr>
        <w:t xml:space="preserve">In the first </w:t>
      </w:r>
      <w:r w:rsidR="004C26CF">
        <w:rPr>
          <w:rFonts w:ascii="Tahoma" w:hAnsi="Tahoma" w:cs="Tahoma"/>
          <w:sz w:val="20"/>
          <w:szCs w:val="20"/>
          <w:lang w:val="en-GB"/>
        </w:rPr>
        <w:t xml:space="preserve">TiSA </w:t>
      </w:r>
      <w:r w:rsidR="00FD5024">
        <w:rPr>
          <w:rFonts w:ascii="Tahoma" w:hAnsi="Tahoma" w:cs="Tahoma"/>
          <w:sz w:val="20"/>
          <w:szCs w:val="20"/>
          <w:lang w:val="en-GB"/>
        </w:rPr>
        <w:t xml:space="preserve">services offer it referred only to “public education”. </w:t>
      </w:r>
    </w:p>
    <w:p w14:paraId="477A7597" w14:textId="77777777" w:rsidR="00562BBE" w:rsidRDefault="00562BBE" w:rsidP="00596913">
      <w:pPr>
        <w:rPr>
          <w:rFonts w:ascii="Tahoma" w:hAnsi="Tahoma" w:cs="Tahoma"/>
          <w:sz w:val="20"/>
          <w:szCs w:val="20"/>
          <w:lang w:val="en-GB"/>
        </w:rPr>
      </w:pPr>
    </w:p>
    <w:p w14:paraId="6E4A9210" w14:textId="3EE721C1" w:rsidR="00415D65" w:rsidRDefault="00895801" w:rsidP="00596913">
      <w:pPr>
        <w:rPr>
          <w:rFonts w:ascii="Tahoma" w:hAnsi="Tahoma" w:cs="Tahoma"/>
          <w:sz w:val="20"/>
          <w:szCs w:val="20"/>
          <w:lang w:val="en-GB"/>
        </w:rPr>
      </w:pPr>
      <w:r w:rsidRPr="00806CA2">
        <w:rPr>
          <w:rFonts w:ascii="Tahoma" w:hAnsi="Tahoma" w:cs="Tahoma"/>
          <w:sz w:val="20"/>
          <w:szCs w:val="20"/>
          <w:lang w:val="en-GB"/>
        </w:rPr>
        <w:t xml:space="preserve">Another problematic issue concerns the </w:t>
      </w:r>
      <w:r w:rsidRPr="00806CA2">
        <w:rPr>
          <w:rFonts w:ascii="Tahoma" w:hAnsi="Tahoma" w:cs="Tahoma"/>
          <w:i/>
          <w:sz w:val="20"/>
          <w:szCs w:val="20"/>
          <w:u w:val="single"/>
          <w:lang w:val="en-GB"/>
        </w:rPr>
        <w:t>EU’s public utilities reservation</w:t>
      </w:r>
      <w:r w:rsidRPr="00806CA2">
        <w:rPr>
          <w:rFonts w:ascii="Tahoma" w:hAnsi="Tahoma" w:cs="Tahoma"/>
          <w:sz w:val="20"/>
          <w:szCs w:val="20"/>
          <w:lang w:val="en-GB"/>
        </w:rPr>
        <w:t>, which lacks a clear definition</w:t>
      </w:r>
      <w:r w:rsidRPr="00806CA2">
        <w:rPr>
          <w:rStyle w:val="FootnoteReference"/>
          <w:rFonts w:ascii="Tahoma" w:hAnsi="Tahoma" w:cs="Tahoma"/>
          <w:sz w:val="20"/>
          <w:szCs w:val="20"/>
          <w:lang w:val="en-GB"/>
        </w:rPr>
        <w:footnoteReference w:id="2"/>
      </w:r>
      <w:r w:rsidRPr="00806CA2">
        <w:rPr>
          <w:rFonts w:ascii="Tahoma" w:hAnsi="Tahoma" w:cs="Tahoma"/>
          <w:sz w:val="20"/>
          <w:szCs w:val="20"/>
          <w:lang w:val="en-GB"/>
        </w:rPr>
        <w:t>.</w:t>
      </w:r>
      <w:r w:rsidR="00562BBE">
        <w:rPr>
          <w:rFonts w:ascii="Tahoma" w:hAnsi="Tahoma" w:cs="Tahoma"/>
          <w:sz w:val="20"/>
          <w:szCs w:val="20"/>
          <w:lang w:val="en-GB"/>
        </w:rPr>
        <w:t xml:space="preserve"> </w:t>
      </w:r>
      <w:r w:rsidRPr="00806CA2">
        <w:rPr>
          <w:rFonts w:ascii="Tahoma" w:hAnsi="Tahoma" w:cs="Tahoma"/>
          <w:sz w:val="20"/>
          <w:szCs w:val="20"/>
          <w:lang w:val="en-GB"/>
        </w:rPr>
        <w:t>The lack of clarity of the public utilities reservation put the education</w:t>
      </w:r>
      <w:r w:rsidRPr="00806CA2">
        <w:rPr>
          <w:rFonts w:ascii="Tahoma" w:hAnsi="Tahoma" w:cs="Tahoma"/>
          <w:i/>
          <w:sz w:val="20"/>
          <w:szCs w:val="20"/>
          <w:lang w:val="en-GB"/>
        </w:rPr>
        <w:t xml:space="preserve"> </w:t>
      </w:r>
      <w:r w:rsidRPr="00806CA2">
        <w:rPr>
          <w:rFonts w:ascii="Tahoma" w:hAnsi="Tahoma" w:cs="Tahoma"/>
          <w:sz w:val="20"/>
          <w:szCs w:val="20"/>
          <w:lang w:val="en-GB"/>
        </w:rPr>
        <w:t xml:space="preserve">sector in a vulnerable situation because it is not included in any of examples listed in the public utilities reservation. Furthermore, from the EU-Singapore the </w:t>
      </w:r>
      <w:r w:rsidRPr="00806CA2">
        <w:rPr>
          <w:rFonts w:ascii="Tahoma" w:hAnsi="Tahoma" w:cs="Tahoma"/>
          <w:i/>
          <w:sz w:val="20"/>
          <w:szCs w:val="20"/>
          <w:u w:val="single"/>
          <w:lang w:val="en-GB"/>
        </w:rPr>
        <w:t>EU does not seem to consider education a public utility</w:t>
      </w:r>
      <w:r w:rsidRPr="00806CA2">
        <w:rPr>
          <w:rFonts w:ascii="Tahoma" w:hAnsi="Tahoma" w:cs="Tahoma"/>
          <w:sz w:val="20"/>
          <w:szCs w:val="20"/>
          <w:lang w:val="en-GB"/>
        </w:rPr>
        <w:t xml:space="preserve"> as there is no footnote to the public utility clause in privately-funded education services, whereas this is the case for other public services including health and social services. Another point concerns the </w:t>
      </w:r>
      <w:r w:rsidRPr="00806CA2">
        <w:rPr>
          <w:rFonts w:ascii="Tahoma" w:hAnsi="Tahoma" w:cs="Tahoma"/>
          <w:i/>
          <w:sz w:val="20"/>
          <w:szCs w:val="20"/>
          <w:u w:val="single"/>
          <w:lang w:val="en-GB"/>
        </w:rPr>
        <w:t>linkage between education services and e-commerce</w:t>
      </w:r>
      <w:r w:rsidRPr="00806CA2">
        <w:rPr>
          <w:rFonts w:ascii="Tahoma" w:hAnsi="Tahoma" w:cs="Tahoma"/>
          <w:sz w:val="20"/>
          <w:szCs w:val="20"/>
          <w:lang w:val="en-GB"/>
        </w:rPr>
        <w:t>, which becomes increasing important with the developments around e-learning and electronic education materials.</w:t>
      </w:r>
      <w:r w:rsidR="0061771C" w:rsidRPr="00806CA2">
        <w:rPr>
          <w:rFonts w:ascii="Tahoma" w:hAnsi="Tahoma" w:cs="Tahoma"/>
          <w:sz w:val="20"/>
          <w:szCs w:val="20"/>
          <w:lang w:val="en-GB"/>
        </w:rPr>
        <w:t xml:space="preserve"> </w:t>
      </w:r>
    </w:p>
    <w:p w14:paraId="3A7F9337" w14:textId="77777777" w:rsidR="00415D65" w:rsidRDefault="00415D65" w:rsidP="00596913">
      <w:pPr>
        <w:rPr>
          <w:rFonts w:ascii="Tahoma" w:hAnsi="Tahoma" w:cs="Tahoma"/>
          <w:sz w:val="20"/>
          <w:szCs w:val="20"/>
          <w:lang w:val="en-GB"/>
        </w:rPr>
      </w:pPr>
    </w:p>
    <w:p w14:paraId="6E387072" w14:textId="76F71E82" w:rsidR="00060AA0" w:rsidRDefault="0061771C" w:rsidP="00596913">
      <w:pPr>
        <w:rPr>
          <w:rFonts w:ascii="Tahoma" w:hAnsi="Tahoma" w:cs="Tahoma"/>
          <w:sz w:val="20"/>
          <w:szCs w:val="20"/>
          <w:lang w:val="en-GB"/>
        </w:rPr>
      </w:pPr>
      <w:r w:rsidRPr="00806CA2">
        <w:rPr>
          <w:rFonts w:ascii="Tahoma" w:hAnsi="Tahoma" w:cs="Tahoma"/>
          <w:sz w:val="20"/>
          <w:szCs w:val="20"/>
          <w:lang w:val="en-GB"/>
        </w:rPr>
        <w:t xml:space="preserve">The European Parliament </w:t>
      </w:r>
      <w:r w:rsidR="00E14CC6">
        <w:rPr>
          <w:rFonts w:ascii="Tahoma" w:hAnsi="Tahoma" w:cs="Tahoma"/>
          <w:sz w:val="20"/>
          <w:szCs w:val="20"/>
          <w:lang w:val="en-GB"/>
        </w:rPr>
        <w:t xml:space="preserve">adopted its </w:t>
      </w:r>
      <w:hyperlink r:id="rId18" w:history="1">
        <w:r w:rsidR="00912B11" w:rsidRPr="00912B11">
          <w:rPr>
            <w:rStyle w:val="Hyperlink"/>
            <w:rFonts w:ascii="Tahoma" w:hAnsi="Tahoma" w:cs="Tahoma"/>
            <w:sz w:val="20"/>
            <w:szCs w:val="20"/>
            <w:lang w:val="en-GB"/>
          </w:rPr>
          <w:t xml:space="preserve">TiSA </w:t>
        </w:r>
        <w:r w:rsidR="00E14CC6" w:rsidRPr="00912B11">
          <w:rPr>
            <w:rStyle w:val="Hyperlink"/>
            <w:rFonts w:ascii="Tahoma" w:hAnsi="Tahoma" w:cs="Tahoma"/>
            <w:sz w:val="20"/>
            <w:szCs w:val="20"/>
            <w:lang w:val="en-GB"/>
          </w:rPr>
          <w:t>recommendations</w:t>
        </w:r>
      </w:hyperlink>
      <w:r w:rsidR="00E14CC6">
        <w:rPr>
          <w:rFonts w:ascii="Tahoma" w:hAnsi="Tahoma" w:cs="Tahoma"/>
          <w:sz w:val="20"/>
          <w:szCs w:val="20"/>
          <w:lang w:val="en-GB"/>
        </w:rPr>
        <w:t xml:space="preserve"> on </w:t>
      </w:r>
      <w:r w:rsidR="00912B11">
        <w:rPr>
          <w:rFonts w:ascii="Tahoma" w:hAnsi="Tahoma" w:cs="Tahoma"/>
          <w:sz w:val="20"/>
          <w:szCs w:val="20"/>
          <w:lang w:val="en-GB"/>
        </w:rPr>
        <w:t>3</w:t>
      </w:r>
      <w:r w:rsidR="00912B11" w:rsidRPr="00912B11">
        <w:rPr>
          <w:rFonts w:ascii="Tahoma" w:hAnsi="Tahoma" w:cs="Tahoma"/>
          <w:sz w:val="20"/>
          <w:szCs w:val="20"/>
          <w:vertAlign w:val="superscript"/>
          <w:lang w:val="en-GB"/>
        </w:rPr>
        <w:t>rd</w:t>
      </w:r>
      <w:r w:rsidR="00912B11">
        <w:rPr>
          <w:rFonts w:ascii="Tahoma" w:hAnsi="Tahoma" w:cs="Tahoma"/>
          <w:sz w:val="20"/>
          <w:szCs w:val="20"/>
          <w:lang w:val="en-GB"/>
        </w:rPr>
        <w:t xml:space="preserve"> February 2016. </w:t>
      </w:r>
      <w:r w:rsidR="00415D65">
        <w:rPr>
          <w:rFonts w:ascii="Tahoma" w:hAnsi="Tahoma" w:cs="Tahoma"/>
          <w:sz w:val="20"/>
          <w:szCs w:val="20"/>
          <w:lang w:val="en-GB"/>
        </w:rPr>
        <w:t xml:space="preserve">The recommendations underlined </w:t>
      </w:r>
      <w:r w:rsidR="00415D65" w:rsidRPr="00415D65">
        <w:rPr>
          <w:rFonts w:ascii="Tahoma" w:hAnsi="Tahoma" w:cs="Tahoma"/>
          <w:sz w:val="20"/>
          <w:szCs w:val="20"/>
          <w:lang w:val="en-GB"/>
        </w:rPr>
        <w:t>the need for the exclusion of “current and future services of general interest and services of general economic interest from the scope of application of the agreement (including, but not limited to, water, health, social services, social security systems and education, waste management and public transport)”.</w:t>
      </w:r>
      <w:r w:rsidR="00415D65">
        <w:rPr>
          <w:rFonts w:ascii="Tahoma" w:hAnsi="Tahoma" w:cs="Tahoma"/>
          <w:sz w:val="20"/>
          <w:szCs w:val="20"/>
          <w:lang w:val="en-GB"/>
        </w:rPr>
        <w:t xml:space="preserve"> </w:t>
      </w:r>
      <w:r w:rsidR="00415D65" w:rsidRPr="00415D65">
        <w:rPr>
          <w:rFonts w:ascii="Tahoma" w:hAnsi="Tahoma" w:cs="Tahoma"/>
          <w:sz w:val="20"/>
          <w:szCs w:val="20"/>
          <w:lang w:val="en-GB"/>
        </w:rPr>
        <w:t>The EP reiterated that the European Union, national and local authorities should retain the full right to introduce, adopt, maintain, or repeal any measures with regard to the commissioning, organisation, funding, and provision of public services. The EP also stated that this exclusion should be applied irrespective of how the public services are provided and funded. It also called on the European Commission to recognise the significant importance attached by European citizens to high-quality public services that contribute to social and territorial cohesion.</w:t>
      </w:r>
      <w:r w:rsidR="00415D65">
        <w:rPr>
          <w:rFonts w:ascii="Tahoma" w:hAnsi="Tahoma" w:cs="Tahoma"/>
          <w:sz w:val="20"/>
          <w:szCs w:val="20"/>
          <w:lang w:val="en-GB"/>
        </w:rPr>
        <w:t xml:space="preserve"> The EP further demands</w:t>
      </w:r>
      <w:r w:rsidR="00415D65" w:rsidRPr="00415D65">
        <w:rPr>
          <w:rFonts w:ascii="Tahoma" w:hAnsi="Tahoma" w:cs="Tahoma"/>
          <w:sz w:val="20"/>
          <w:szCs w:val="20"/>
          <w:lang w:val="en-GB"/>
        </w:rPr>
        <w:t xml:space="preserve"> for the introduction of an unequivocal ‘gold standard’ clause. This clause could be included in all trade agreements and would ensure that the public utilities clause applies to all modes of supply and to any services considered to be public services by European, national or regional authorities, in any sector and irrespective of the service's monopoly status. This would include education, which was not previous the case.</w:t>
      </w:r>
      <w:r w:rsidR="00415D65" w:rsidRPr="00415D65">
        <w:t xml:space="preserve"> </w:t>
      </w:r>
      <w:r w:rsidR="00415D65">
        <w:rPr>
          <w:rFonts w:ascii="Tahoma" w:hAnsi="Tahoma" w:cs="Tahoma"/>
          <w:sz w:val="20"/>
          <w:szCs w:val="20"/>
          <w:lang w:val="en-GB"/>
        </w:rPr>
        <w:t xml:space="preserve">With just a few votes, the recommendations </w:t>
      </w:r>
      <w:r w:rsidR="00415D65" w:rsidRPr="00415D65">
        <w:rPr>
          <w:rFonts w:ascii="Tahoma" w:hAnsi="Tahoma" w:cs="Tahoma"/>
          <w:sz w:val="20"/>
          <w:szCs w:val="20"/>
          <w:lang w:val="en-GB"/>
        </w:rPr>
        <w:t xml:space="preserve"> reject</w:t>
      </w:r>
      <w:r w:rsidR="002C56EA">
        <w:rPr>
          <w:rFonts w:ascii="Tahoma" w:hAnsi="Tahoma" w:cs="Tahoma"/>
          <w:sz w:val="20"/>
          <w:szCs w:val="20"/>
          <w:lang w:val="en-GB"/>
        </w:rPr>
        <w:t>ed</w:t>
      </w:r>
      <w:r w:rsidR="00415D65" w:rsidRPr="00415D65">
        <w:rPr>
          <w:rFonts w:ascii="Tahoma" w:hAnsi="Tahoma" w:cs="Tahoma"/>
          <w:sz w:val="20"/>
          <w:szCs w:val="20"/>
          <w:lang w:val="en-GB"/>
        </w:rPr>
        <w:t xml:space="preserve"> </w:t>
      </w:r>
      <w:r w:rsidR="00415D65">
        <w:rPr>
          <w:rFonts w:ascii="Tahoma" w:hAnsi="Tahoma" w:cs="Tahoma"/>
          <w:sz w:val="20"/>
          <w:szCs w:val="20"/>
          <w:lang w:val="en-GB"/>
        </w:rPr>
        <w:t xml:space="preserve">the inclusion of standstill and ratchet clauses </w:t>
      </w:r>
      <w:r w:rsidR="00415D65" w:rsidRPr="00415D65">
        <w:rPr>
          <w:rFonts w:ascii="Tahoma" w:hAnsi="Tahoma" w:cs="Tahoma"/>
          <w:sz w:val="20"/>
          <w:szCs w:val="20"/>
          <w:lang w:val="en-GB"/>
        </w:rPr>
        <w:t>that would make it impossible to reverse past liberalisations and lead to ever-increasing levels of liberalisation. The EP calls for enough flexibility to bring services of general economic interest back into public control; and maintain the right of the EU and Member States to modify their level of liberalisation.</w:t>
      </w:r>
    </w:p>
    <w:p w14:paraId="75B009AB" w14:textId="54212244" w:rsidR="00512E66" w:rsidRPr="00806CA2" w:rsidRDefault="00363C21" w:rsidP="00596913">
      <w:pPr>
        <w:rPr>
          <w:rFonts w:ascii="Tahoma" w:hAnsi="Tahoma" w:cs="Tahoma"/>
          <w:sz w:val="20"/>
          <w:szCs w:val="20"/>
          <w:lang w:val="en-GB"/>
        </w:rPr>
      </w:pPr>
      <w:r w:rsidRPr="00806CA2">
        <w:rPr>
          <w:rFonts w:ascii="Tahoma" w:hAnsi="Tahoma" w:cs="Tahoma"/>
          <w:sz w:val="20"/>
          <w:szCs w:val="20"/>
          <w:lang w:val="en-GB"/>
        </w:rPr>
        <w:t xml:space="preserve">    </w:t>
      </w:r>
    </w:p>
    <w:p w14:paraId="7D6FD775" w14:textId="77777777" w:rsidR="00987410" w:rsidRDefault="00987410" w:rsidP="00596913">
      <w:pPr>
        <w:pStyle w:val="ListParagraph"/>
        <w:numPr>
          <w:ilvl w:val="0"/>
          <w:numId w:val="34"/>
        </w:numPr>
        <w:rPr>
          <w:rFonts w:ascii="Tahoma" w:hAnsi="Tahoma" w:cs="Tahoma"/>
          <w:b/>
          <w:sz w:val="20"/>
          <w:szCs w:val="20"/>
          <w:lang w:val="en-GB"/>
        </w:rPr>
      </w:pPr>
      <w:r w:rsidRPr="00806CA2">
        <w:rPr>
          <w:rFonts w:ascii="Tahoma" w:hAnsi="Tahoma" w:cs="Tahoma"/>
          <w:b/>
          <w:sz w:val="20"/>
          <w:szCs w:val="20"/>
          <w:lang w:val="en-GB"/>
        </w:rPr>
        <w:t>Transatlantic Trade and Investment Partnership (</w:t>
      </w:r>
      <w:r w:rsidR="008A5145" w:rsidRPr="00806CA2">
        <w:rPr>
          <w:rFonts w:ascii="Tahoma" w:hAnsi="Tahoma" w:cs="Tahoma"/>
          <w:b/>
          <w:sz w:val="20"/>
          <w:szCs w:val="20"/>
          <w:lang w:val="en-GB"/>
        </w:rPr>
        <w:t>TTIP</w:t>
      </w:r>
      <w:r w:rsidRPr="00806CA2">
        <w:rPr>
          <w:rFonts w:ascii="Tahoma" w:hAnsi="Tahoma" w:cs="Tahoma"/>
          <w:b/>
          <w:sz w:val="20"/>
          <w:szCs w:val="20"/>
          <w:lang w:val="en-GB"/>
        </w:rPr>
        <w:t>)</w:t>
      </w:r>
    </w:p>
    <w:p w14:paraId="46A9AAC0" w14:textId="77777777" w:rsidR="005F41D8" w:rsidRPr="00806CA2" w:rsidRDefault="005F41D8" w:rsidP="00596913">
      <w:pPr>
        <w:pStyle w:val="ListParagraph"/>
        <w:ind w:left="360"/>
        <w:rPr>
          <w:rFonts w:ascii="Tahoma" w:hAnsi="Tahoma" w:cs="Tahoma"/>
          <w:b/>
          <w:sz w:val="20"/>
          <w:szCs w:val="20"/>
          <w:lang w:val="en-GB"/>
        </w:rPr>
      </w:pPr>
    </w:p>
    <w:p w14:paraId="76085C57" w14:textId="27753793" w:rsidR="00987410" w:rsidRPr="00806CA2" w:rsidRDefault="00987410" w:rsidP="00596913">
      <w:pPr>
        <w:rPr>
          <w:rFonts w:ascii="Tahoma" w:hAnsi="Tahoma" w:cs="Tahoma"/>
          <w:sz w:val="20"/>
          <w:szCs w:val="20"/>
          <w:lang w:val="en-GB"/>
        </w:rPr>
      </w:pPr>
      <w:r w:rsidRPr="00806CA2">
        <w:rPr>
          <w:rFonts w:ascii="Tahoma" w:hAnsi="Tahoma" w:cs="Tahoma"/>
          <w:sz w:val="20"/>
          <w:szCs w:val="20"/>
          <w:lang w:val="en-GB"/>
        </w:rPr>
        <w:t>The Transatlantic Trade and Investment Partnership</w:t>
      </w:r>
      <w:r w:rsidR="00072FF0" w:rsidRPr="00806CA2">
        <w:rPr>
          <w:rFonts w:ascii="Tahoma" w:hAnsi="Tahoma" w:cs="Tahoma"/>
          <w:sz w:val="20"/>
          <w:szCs w:val="20"/>
          <w:lang w:val="en-GB"/>
        </w:rPr>
        <w:t xml:space="preserve"> (TTIP)</w:t>
      </w:r>
      <w:r w:rsidRPr="00806CA2">
        <w:rPr>
          <w:rFonts w:ascii="Tahoma" w:hAnsi="Tahoma" w:cs="Tahoma"/>
          <w:sz w:val="20"/>
          <w:szCs w:val="20"/>
          <w:lang w:val="en-GB"/>
        </w:rPr>
        <w:t xml:space="preserve"> is a comprehensive trade</w:t>
      </w:r>
      <w:r w:rsidR="00C0276A" w:rsidRPr="00806CA2">
        <w:rPr>
          <w:rFonts w:ascii="Tahoma" w:hAnsi="Tahoma" w:cs="Tahoma"/>
          <w:sz w:val="20"/>
          <w:szCs w:val="20"/>
          <w:lang w:val="en-GB"/>
        </w:rPr>
        <w:t xml:space="preserve"> and investment</w:t>
      </w:r>
      <w:r w:rsidRPr="00806CA2">
        <w:rPr>
          <w:rFonts w:ascii="Tahoma" w:hAnsi="Tahoma" w:cs="Tahoma"/>
          <w:sz w:val="20"/>
          <w:szCs w:val="20"/>
          <w:lang w:val="en-GB"/>
        </w:rPr>
        <w:t xml:space="preserve"> agreement being negotiated between the European Union and the United States. The talks are intended to reduce or eliminate barriers to trade in goods and services, guarantee investor rights, and promote regulatory cooperation.</w:t>
      </w:r>
      <w:r w:rsidR="008A5145" w:rsidRPr="00806CA2">
        <w:rPr>
          <w:rFonts w:ascii="Tahoma" w:hAnsi="Tahoma" w:cs="Tahoma"/>
          <w:sz w:val="20"/>
          <w:szCs w:val="20"/>
          <w:lang w:val="en-GB"/>
        </w:rPr>
        <w:t xml:space="preserve"> </w:t>
      </w:r>
      <w:r w:rsidRPr="00806CA2">
        <w:rPr>
          <w:rFonts w:ascii="Tahoma" w:hAnsi="Tahoma" w:cs="Tahoma"/>
          <w:sz w:val="20"/>
          <w:szCs w:val="20"/>
          <w:lang w:val="en-GB"/>
        </w:rPr>
        <w:t>The TTIP negotiations we</w:t>
      </w:r>
      <w:r w:rsidR="00060AA0">
        <w:rPr>
          <w:rFonts w:ascii="Tahoma" w:hAnsi="Tahoma" w:cs="Tahoma"/>
          <w:sz w:val="20"/>
          <w:szCs w:val="20"/>
          <w:lang w:val="en-GB"/>
        </w:rPr>
        <w:t>re i</w:t>
      </w:r>
      <w:r w:rsidR="003A650F">
        <w:rPr>
          <w:rFonts w:ascii="Tahoma" w:hAnsi="Tahoma" w:cs="Tahoma"/>
          <w:sz w:val="20"/>
          <w:szCs w:val="20"/>
          <w:lang w:val="en-GB"/>
        </w:rPr>
        <w:t>nitiated in July 2013 and 14</w:t>
      </w:r>
      <w:r w:rsidRPr="00806CA2">
        <w:rPr>
          <w:rFonts w:ascii="Tahoma" w:hAnsi="Tahoma" w:cs="Tahoma"/>
          <w:sz w:val="20"/>
          <w:szCs w:val="20"/>
          <w:lang w:val="en-GB"/>
        </w:rPr>
        <w:t xml:space="preserve"> rounds of negotiation</w:t>
      </w:r>
      <w:r w:rsidR="003706A5" w:rsidRPr="00806CA2">
        <w:rPr>
          <w:rFonts w:ascii="Tahoma" w:hAnsi="Tahoma" w:cs="Tahoma"/>
          <w:sz w:val="20"/>
          <w:szCs w:val="20"/>
          <w:lang w:val="en-GB"/>
        </w:rPr>
        <w:t>s have taken place since.</w:t>
      </w:r>
      <w:r w:rsidR="00060AA0">
        <w:rPr>
          <w:rFonts w:ascii="Tahoma" w:hAnsi="Tahoma" w:cs="Tahoma"/>
          <w:sz w:val="20"/>
          <w:szCs w:val="20"/>
          <w:lang w:val="en-GB"/>
        </w:rPr>
        <w:t xml:space="preserve"> The last round of negotiati</w:t>
      </w:r>
      <w:r w:rsidR="003A650F">
        <w:rPr>
          <w:rFonts w:ascii="Tahoma" w:hAnsi="Tahoma" w:cs="Tahoma"/>
          <w:sz w:val="20"/>
          <w:szCs w:val="20"/>
          <w:lang w:val="en-GB"/>
        </w:rPr>
        <w:t xml:space="preserve">ons took place in Brussels on 11-15 </w:t>
      </w:r>
      <w:r w:rsidR="003A650F">
        <w:rPr>
          <w:rFonts w:ascii="Tahoma" w:hAnsi="Tahoma" w:cs="Tahoma"/>
          <w:sz w:val="20"/>
          <w:szCs w:val="20"/>
          <w:lang w:val="en-GB"/>
        </w:rPr>
        <w:lastRenderedPageBreak/>
        <w:t>July and the next round is</w:t>
      </w:r>
      <w:r w:rsidR="00060AA0">
        <w:rPr>
          <w:rFonts w:ascii="Tahoma" w:hAnsi="Tahoma" w:cs="Tahoma"/>
          <w:sz w:val="20"/>
          <w:szCs w:val="20"/>
          <w:lang w:val="en-GB"/>
        </w:rPr>
        <w:t xml:space="preserve"> scheduled </w:t>
      </w:r>
      <w:r w:rsidR="003A650F">
        <w:rPr>
          <w:rFonts w:ascii="Tahoma" w:hAnsi="Tahoma" w:cs="Tahoma"/>
          <w:sz w:val="20"/>
          <w:szCs w:val="20"/>
          <w:lang w:val="en-GB"/>
        </w:rPr>
        <w:t>for 3-7 October</w:t>
      </w:r>
      <w:r w:rsidR="00732D6D">
        <w:rPr>
          <w:rFonts w:ascii="Tahoma" w:hAnsi="Tahoma" w:cs="Tahoma"/>
          <w:sz w:val="20"/>
          <w:szCs w:val="20"/>
          <w:lang w:val="en-GB"/>
        </w:rPr>
        <w:t>.</w:t>
      </w:r>
      <w:r w:rsidR="003706A5" w:rsidRPr="00806CA2">
        <w:rPr>
          <w:rFonts w:ascii="Tahoma" w:hAnsi="Tahoma" w:cs="Tahoma"/>
          <w:sz w:val="20"/>
          <w:szCs w:val="20"/>
          <w:lang w:val="en-GB"/>
        </w:rPr>
        <w:t xml:space="preserve"> </w:t>
      </w:r>
      <w:r w:rsidRPr="00806CA2">
        <w:rPr>
          <w:rFonts w:ascii="Tahoma" w:hAnsi="Tahoma" w:cs="Tahoma"/>
          <w:sz w:val="20"/>
          <w:szCs w:val="20"/>
          <w:lang w:val="en-GB"/>
        </w:rPr>
        <w:t xml:space="preserve">The negotiations have drawn out and </w:t>
      </w:r>
      <w:r w:rsidR="003A650F">
        <w:rPr>
          <w:rFonts w:ascii="Tahoma" w:hAnsi="Tahoma" w:cs="Tahoma"/>
          <w:sz w:val="20"/>
          <w:szCs w:val="20"/>
          <w:lang w:val="en-GB"/>
        </w:rPr>
        <w:t xml:space="preserve">recently a number of Ministers from EU </w:t>
      </w:r>
      <w:r w:rsidR="007B35BE">
        <w:rPr>
          <w:rFonts w:ascii="Tahoma" w:hAnsi="Tahoma" w:cs="Tahoma"/>
          <w:sz w:val="20"/>
          <w:szCs w:val="20"/>
          <w:lang w:val="en-GB"/>
        </w:rPr>
        <w:t>Member States</w:t>
      </w:r>
      <w:r w:rsidR="003A650F">
        <w:rPr>
          <w:rFonts w:ascii="Tahoma" w:hAnsi="Tahoma" w:cs="Tahoma"/>
          <w:sz w:val="20"/>
          <w:szCs w:val="20"/>
          <w:lang w:val="en-GB"/>
        </w:rPr>
        <w:t xml:space="preserve"> voiced their frustration with the TTIP negotiations and suggested either to suspend or relaunch the negotiations under a different name. However, it is too early to declare the negotiations dead and the EC has indicated interest in furt</w:t>
      </w:r>
      <w:r w:rsidR="00A87AC3">
        <w:rPr>
          <w:rFonts w:ascii="Tahoma" w:hAnsi="Tahoma" w:cs="Tahoma"/>
          <w:sz w:val="20"/>
          <w:szCs w:val="20"/>
          <w:lang w:val="en-GB"/>
        </w:rPr>
        <w:t>her rounds in the coming months, however it has recognised that the negotiations are unlikely to be finalised under the Obama administration. D</w:t>
      </w:r>
      <w:r w:rsidR="003A650F">
        <w:rPr>
          <w:rFonts w:ascii="Tahoma" w:hAnsi="Tahoma" w:cs="Tahoma"/>
          <w:sz w:val="20"/>
          <w:szCs w:val="20"/>
          <w:lang w:val="en-GB"/>
        </w:rPr>
        <w:t xml:space="preserve">ue to the US election in November the negotiations are likely to </w:t>
      </w:r>
      <w:r w:rsidR="00A87AC3">
        <w:rPr>
          <w:rFonts w:ascii="Tahoma" w:hAnsi="Tahoma" w:cs="Tahoma"/>
          <w:sz w:val="20"/>
          <w:szCs w:val="20"/>
          <w:lang w:val="en-GB"/>
        </w:rPr>
        <w:t>go into a zombie mode until the next administration has been installed.</w:t>
      </w:r>
      <w:r w:rsidR="003A650F">
        <w:rPr>
          <w:rFonts w:ascii="Tahoma" w:hAnsi="Tahoma" w:cs="Tahoma"/>
          <w:sz w:val="20"/>
          <w:szCs w:val="20"/>
          <w:lang w:val="en-GB"/>
        </w:rPr>
        <w:t xml:space="preserve"> </w:t>
      </w:r>
      <w:r w:rsidRPr="00806CA2">
        <w:rPr>
          <w:rFonts w:ascii="Tahoma" w:hAnsi="Tahoma" w:cs="Tahoma"/>
          <w:sz w:val="20"/>
          <w:szCs w:val="20"/>
          <w:lang w:val="en-GB"/>
        </w:rPr>
        <w:t>The groundwork for negotiators began in 2011 when the EU and the US established the Higher Level Working Group on Jobs and Growth. Its mandate was to explore the feasibility and potential benefits of a comprehensive trade agreement covering all sectors. The working group concluded its mandate by recommending the launch of formal talks.</w:t>
      </w:r>
    </w:p>
    <w:p w14:paraId="39CB7895" w14:textId="77777777" w:rsidR="00072FF0" w:rsidRPr="00806CA2" w:rsidRDefault="00072FF0" w:rsidP="00596913">
      <w:pPr>
        <w:rPr>
          <w:rFonts w:ascii="Tahoma" w:eastAsia="MS Mincho" w:hAnsi="Tahoma" w:cs="Tahoma"/>
          <w:bCs/>
          <w:sz w:val="20"/>
          <w:szCs w:val="20"/>
          <w:lang w:val="en-GB" w:eastAsia="ja-JP"/>
        </w:rPr>
      </w:pPr>
    </w:p>
    <w:p w14:paraId="4DDDB316" w14:textId="4DBCAC5C" w:rsidR="00695F6F" w:rsidRPr="00806CA2" w:rsidRDefault="00695F6F" w:rsidP="00596913">
      <w:pPr>
        <w:rPr>
          <w:rFonts w:ascii="Tahoma" w:hAnsi="Tahoma" w:cs="Tahoma"/>
          <w:sz w:val="20"/>
          <w:szCs w:val="20"/>
          <w:lang w:val="en-GB"/>
        </w:rPr>
      </w:pPr>
      <w:r w:rsidRPr="00806CA2">
        <w:rPr>
          <w:rFonts w:ascii="Tahoma" w:eastAsia="MS Mincho" w:hAnsi="Tahoma" w:cs="Tahoma"/>
          <w:bCs/>
          <w:sz w:val="20"/>
          <w:szCs w:val="20"/>
          <w:lang w:val="en-GB" w:eastAsia="ja-JP"/>
        </w:rPr>
        <w:t xml:space="preserve">ISDS is so far the most controversial issue. The critiques of ISDS stress that modern democratic societies have developed ways to separate power, i.e. between the legislature, government, and courts. In contrast, ISDS concentrates power. The ISDS system gives arbitrators the power to review all decisions by legislatures, governments, and courts, and importantly it does not observe the separation of powers, it lacks basic institutional safeguards of judicial independence, and ultimately undermines democratic decision-making. The </w:t>
      </w:r>
      <w:r w:rsidR="00A87AC3">
        <w:rPr>
          <w:rFonts w:ascii="Tahoma" w:eastAsia="MS Mincho" w:hAnsi="Tahoma" w:cs="Tahoma"/>
          <w:bCs/>
          <w:sz w:val="20"/>
          <w:szCs w:val="20"/>
          <w:lang w:val="en-GB" w:eastAsia="ja-JP"/>
        </w:rPr>
        <w:t>EC</w:t>
      </w:r>
      <w:r w:rsidRPr="00806CA2">
        <w:rPr>
          <w:rFonts w:ascii="Tahoma" w:eastAsia="MS Mincho" w:hAnsi="Tahoma" w:cs="Tahoma"/>
          <w:bCs/>
          <w:sz w:val="20"/>
          <w:szCs w:val="20"/>
          <w:lang w:val="en-GB" w:eastAsia="ja-JP"/>
        </w:rPr>
        <w:t xml:space="preserve"> launched a public consultation on ISDS in TTIP in March 201</w:t>
      </w:r>
      <w:r w:rsidR="0040184C">
        <w:rPr>
          <w:rFonts w:ascii="Tahoma" w:eastAsia="MS Mincho" w:hAnsi="Tahoma" w:cs="Tahoma"/>
          <w:bCs/>
          <w:sz w:val="20"/>
          <w:szCs w:val="20"/>
          <w:lang w:val="en-GB" w:eastAsia="ja-JP"/>
        </w:rPr>
        <w:t>4</w:t>
      </w:r>
      <w:r w:rsidR="00A87AC3">
        <w:rPr>
          <w:rFonts w:ascii="Tahoma" w:eastAsia="MS Mincho" w:hAnsi="Tahoma" w:cs="Tahoma"/>
          <w:bCs/>
          <w:sz w:val="20"/>
          <w:szCs w:val="20"/>
          <w:lang w:val="en-GB" w:eastAsia="ja-JP"/>
        </w:rPr>
        <w:t>. The EC’s</w:t>
      </w:r>
      <w:r w:rsidRPr="00806CA2">
        <w:rPr>
          <w:rFonts w:ascii="Tahoma" w:eastAsia="MS Mincho" w:hAnsi="Tahoma" w:cs="Tahoma"/>
          <w:bCs/>
          <w:sz w:val="20"/>
          <w:szCs w:val="20"/>
          <w:lang w:val="en-GB" w:eastAsia="ja-JP"/>
        </w:rPr>
        <w:t xml:space="preserve"> long anticipated </w:t>
      </w:r>
      <w:hyperlink r:id="rId19" w:history="1">
        <w:r w:rsidRPr="00806CA2">
          <w:rPr>
            <w:rStyle w:val="Hyperlink"/>
            <w:rFonts w:ascii="Tahoma" w:eastAsia="MS Mincho" w:hAnsi="Tahoma" w:cs="Tahoma"/>
            <w:bCs/>
            <w:sz w:val="20"/>
            <w:szCs w:val="20"/>
            <w:lang w:val="en-GB" w:eastAsia="ja-JP"/>
          </w:rPr>
          <w:t>report</w:t>
        </w:r>
      </w:hyperlink>
      <w:r w:rsidRPr="00806CA2">
        <w:rPr>
          <w:rFonts w:ascii="Tahoma" w:eastAsia="MS Mincho" w:hAnsi="Tahoma" w:cs="Tahoma"/>
          <w:bCs/>
          <w:sz w:val="20"/>
          <w:szCs w:val="20"/>
          <w:lang w:val="en-GB" w:eastAsia="ja-JP"/>
        </w:rPr>
        <w:t xml:space="preserve"> on the public consultation on ISDS in TTIP </w:t>
      </w:r>
      <w:r w:rsidR="00A87AC3">
        <w:rPr>
          <w:rFonts w:ascii="Tahoma" w:eastAsia="MS Mincho" w:hAnsi="Tahoma" w:cs="Tahoma"/>
          <w:bCs/>
          <w:sz w:val="20"/>
          <w:szCs w:val="20"/>
          <w:lang w:val="en-GB" w:eastAsia="ja-JP"/>
        </w:rPr>
        <w:t xml:space="preserve">was published </w:t>
      </w:r>
      <w:r w:rsidRPr="00806CA2">
        <w:rPr>
          <w:rFonts w:ascii="Tahoma" w:eastAsia="MS Mincho" w:hAnsi="Tahoma" w:cs="Tahoma"/>
          <w:bCs/>
          <w:sz w:val="20"/>
          <w:szCs w:val="20"/>
          <w:lang w:val="en-GB" w:eastAsia="ja-JP"/>
        </w:rPr>
        <w:t>on 13 January 2015. The report presented an analysis of the almost 150.000 submissions received to the public consultation, of which 97% of the replies were opposed to the inclusion of ISDS in TTIP or generally against TTIP. The E</w:t>
      </w:r>
      <w:r w:rsidR="00A87AC3">
        <w:rPr>
          <w:rFonts w:ascii="Tahoma" w:eastAsia="MS Mincho" w:hAnsi="Tahoma" w:cs="Tahoma"/>
          <w:bCs/>
          <w:sz w:val="20"/>
          <w:szCs w:val="20"/>
          <w:lang w:val="en-GB" w:eastAsia="ja-JP"/>
        </w:rPr>
        <w:t xml:space="preserve">C </w:t>
      </w:r>
      <w:r w:rsidR="00111DB6">
        <w:rPr>
          <w:rFonts w:ascii="Tahoma" w:eastAsia="MS Mincho" w:hAnsi="Tahoma" w:cs="Tahoma"/>
          <w:bCs/>
          <w:sz w:val="20"/>
          <w:szCs w:val="20"/>
          <w:lang w:val="en-GB" w:eastAsia="ja-JP"/>
        </w:rPr>
        <w:t xml:space="preserve">has </w:t>
      </w:r>
      <w:r w:rsidRPr="00806CA2">
        <w:rPr>
          <w:rFonts w:ascii="Tahoma" w:eastAsia="MS Mincho" w:hAnsi="Tahoma" w:cs="Tahoma"/>
          <w:bCs/>
          <w:sz w:val="20"/>
          <w:szCs w:val="20"/>
          <w:lang w:val="en-GB" w:eastAsia="ja-JP"/>
        </w:rPr>
        <w:t xml:space="preserve">published a legal proposal </w:t>
      </w:r>
      <w:r w:rsidRPr="00806CA2">
        <w:rPr>
          <w:rFonts w:ascii="Tahoma" w:hAnsi="Tahoma" w:cs="Tahoma"/>
          <w:sz w:val="20"/>
          <w:szCs w:val="20"/>
          <w:lang w:val="en-GB"/>
        </w:rPr>
        <w:t>for an investment court system in TTIP. This would mean that a public Investment Court System composed of a first instance Tribunal and an Appeal Tribunal would be set up instead of the Investor-to-State dispute settlement (ISDS) mechanism in the case of TTIP. While the proposal is an improvement compared to the</w:t>
      </w:r>
      <w:r w:rsidR="00A87AC3">
        <w:rPr>
          <w:rFonts w:ascii="Tahoma" w:hAnsi="Tahoma" w:cs="Tahoma"/>
          <w:sz w:val="20"/>
          <w:szCs w:val="20"/>
          <w:lang w:val="en-GB"/>
        </w:rPr>
        <w:t xml:space="preserve"> classic</w:t>
      </w:r>
      <w:r w:rsidRPr="00806CA2">
        <w:rPr>
          <w:rFonts w:ascii="Tahoma" w:hAnsi="Tahoma" w:cs="Tahoma"/>
          <w:sz w:val="20"/>
          <w:szCs w:val="20"/>
          <w:lang w:val="en-GB"/>
        </w:rPr>
        <w:t xml:space="preserve"> ISDS mechanism, the </w:t>
      </w:r>
      <w:r w:rsidR="00A87AC3">
        <w:rPr>
          <w:rFonts w:ascii="Tahoma" w:hAnsi="Tahoma" w:cs="Tahoma"/>
          <w:sz w:val="20"/>
          <w:szCs w:val="20"/>
          <w:lang w:val="en-GB"/>
        </w:rPr>
        <w:t xml:space="preserve">principles of the </w:t>
      </w:r>
      <w:r w:rsidR="00053B35">
        <w:rPr>
          <w:rFonts w:ascii="Tahoma" w:hAnsi="Tahoma" w:cs="Tahoma"/>
          <w:sz w:val="20"/>
          <w:szCs w:val="20"/>
          <w:lang w:val="en-GB"/>
        </w:rPr>
        <w:t xml:space="preserve">investment </w:t>
      </w:r>
      <w:r w:rsidRPr="00806CA2">
        <w:rPr>
          <w:rFonts w:ascii="Tahoma" w:hAnsi="Tahoma" w:cs="Tahoma"/>
          <w:sz w:val="20"/>
          <w:szCs w:val="20"/>
          <w:lang w:val="en-GB"/>
        </w:rPr>
        <w:t xml:space="preserve">court system </w:t>
      </w:r>
      <w:r w:rsidR="00A87AC3">
        <w:rPr>
          <w:rFonts w:ascii="Tahoma" w:hAnsi="Tahoma" w:cs="Tahoma"/>
          <w:sz w:val="20"/>
          <w:szCs w:val="20"/>
          <w:lang w:val="en-GB"/>
        </w:rPr>
        <w:t xml:space="preserve">remains the same as the ISDS mechanism and consequently the </w:t>
      </w:r>
      <w:r w:rsidR="00053B35">
        <w:rPr>
          <w:rFonts w:ascii="Tahoma" w:hAnsi="Tahoma" w:cs="Tahoma"/>
          <w:sz w:val="20"/>
          <w:szCs w:val="20"/>
          <w:lang w:val="en-GB"/>
        </w:rPr>
        <w:t xml:space="preserve">investment </w:t>
      </w:r>
      <w:r w:rsidR="00A87AC3">
        <w:rPr>
          <w:rFonts w:ascii="Tahoma" w:hAnsi="Tahoma" w:cs="Tahoma"/>
          <w:sz w:val="20"/>
          <w:szCs w:val="20"/>
          <w:lang w:val="en-GB"/>
        </w:rPr>
        <w:t>court system</w:t>
      </w:r>
      <w:r w:rsidR="00053B35">
        <w:rPr>
          <w:rFonts w:ascii="Tahoma" w:hAnsi="Tahoma" w:cs="Tahoma"/>
          <w:sz w:val="20"/>
          <w:szCs w:val="20"/>
          <w:lang w:val="en-GB"/>
        </w:rPr>
        <w:t xml:space="preserve"> is </w:t>
      </w:r>
      <w:r w:rsidRPr="00806CA2">
        <w:rPr>
          <w:rFonts w:ascii="Tahoma" w:hAnsi="Tahoma" w:cs="Tahoma"/>
          <w:sz w:val="20"/>
          <w:szCs w:val="20"/>
          <w:lang w:val="en-GB"/>
        </w:rPr>
        <w:t>available</w:t>
      </w:r>
      <w:r w:rsidR="00072FF0" w:rsidRPr="00806CA2">
        <w:rPr>
          <w:rFonts w:ascii="Tahoma" w:hAnsi="Tahoma" w:cs="Tahoma"/>
          <w:sz w:val="20"/>
          <w:szCs w:val="20"/>
          <w:lang w:val="en-GB"/>
        </w:rPr>
        <w:t xml:space="preserve"> only</w:t>
      </w:r>
      <w:r w:rsidRPr="00806CA2">
        <w:rPr>
          <w:rFonts w:ascii="Tahoma" w:hAnsi="Tahoma" w:cs="Tahoma"/>
          <w:sz w:val="20"/>
          <w:szCs w:val="20"/>
          <w:lang w:val="en-GB"/>
        </w:rPr>
        <w:t xml:space="preserve"> to foreign investors and thereby </w:t>
      </w:r>
      <w:r w:rsidR="00053B35">
        <w:rPr>
          <w:rFonts w:ascii="Tahoma" w:hAnsi="Tahoma" w:cs="Tahoma"/>
          <w:sz w:val="20"/>
          <w:szCs w:val="20"/>
          <w:lang w:val="en-GB"/>
        </w:rPr>
        <w:t>gives</w:t>
      </w:r>
      <w:r w:rsidRPr="00806CA2">
        <w:rPr>
          <w:rFonts w:ascii="Tahoma" w:hAnsi="Tahoma" w:cs="Tahoma"/>
          <w:sz w:val="20"/>
          <w:szCs w:val="20"/>
          <w:lang w:val="en-GB"/>
        </w:rPr>
        <w:t xml:space="preserve"> foreign investors special right</w:t>
      </w:r>
      <w:r w:rsidR="00072FF0" w:rsidRPr="00806CA2">
        <w:rPr>
          <w:rFonts w:ascii="Tahoma" w:hAnsi="Tahoma" w:cs="Tahoma"/>
          <w:sz w:val="20"/>
          <w:szCs w:val="20"/>
          <w:lang w:val="en-GB"/>
        </w:rPr>
        <w:t>s</w:t>
      </w:r>
      <w:r w:rsidR="00053B35">
        <w:rPr>
          <w:rFonts w:ascii="Tahoma" w:hAnsi="Tahoma" w:cs="Tahoma"/>
          <w:sz w:val="20"/>
          <w:szCs w:val="20"/>
          <w:lang w:val="en-GB"/>
        </w:rPr>
        <w:t xml:space="preserve"> that are not available to citizens and domestic investors</w:t>
      </w:r>
      <w:r w:rsidRPr="00806CA2">
        <w:rPr>
          <w:rFonts w:ascii="Tahoma" w:hAnsi="Tahoma" w:cs="Tahoma"/>
          <w:sz w:val="20"/>
          <w:szCs w:val="20"/>
          <w:lang w:val="en-GB"/>
        </w:rPr>
        <w:t>. I</w:t>
      </w:r>
      <w:r w:rsidR="00AD65E3" w:rsidRPr="00806CA2">
        <w:rPr>
          <w:rFonts w:ascii="Tahoma" w:hAnsi="Tahoma" w:cs="Tahoma"/>
          <w:sz w:val="20"/>
          <w:szCs w:val="20"/>
          <w:lang w:val="en-GB"/>
        </w:rPr>
        <w:t xml:space="preserve">n addition, </w:t>
      </w:r>
      <w:r w:rsidR="00053B35">
        <w:rPr>
          <w:rFonts w:ascii="Tahoma" w:hAnsi="Tahoma" w:cs="Tahoma"/>
          <w:sz w:val="20"/>
          <w:szCs w:val="20"/>
          <w:lang w:val="en-GB"/>
        </w:rPr>
        <w:t xml:space="preserve">the US has expressed its reservations with the proposal of establishing an investment court system. </w:t>
      </w:r>
    </w:p>
    <w:p w14:paraId="4D2C2D5B" w14:textId="77777777" w:rsidR="001F744F" w:rsidRPr="00806CA2" w:rsidRDefault="001F744F" w:rsidP="00596913">
      <w:pPr>
        <w:rPr>
          <w:rFonts w:ascii="Tahoma" w:eastAsia="MS Mincho" w:hAnsi="Tahoma" w:cs="Tahoma"/>
          <w:bCs/>
          <w:sz w:val="20"/>
          <w:szCs w:val="20"/>
          <w:lang w:val="en-GB" w:eastAsia="ja-JP"/>
        </w:rPr>
      </w:pPr>
    </w:p>
    <w:p w14:paraId="32D4D826" w14:textId="5B4D7496" w:rsidR="00695F6F" w:rsidRPr="00806CA2" w:rsidRDefault="00695F6F" w:rsidP="00596913">
      <w:pPr>
        <w:rPr>
          <w:rStyle w:val="Hyperlink"/>
          <w:rFonts w:ascii="Tahoma" w:eastAsia="MS Mincho" w:hAnsi="Tahoma" w:cs="Tahoma"/>
          <w:bCs/>
          <w:i/>
          <w:sz w:val="20"/>
          <w:szCs w:val="20"/>
          <w:lang w:val="en-GB" w:eastAsia="ja-JP"/>
        </w:rPr>
      </w:pPr>
      <w:r w:rsidRPr="00806CA2">
        <w:rPr>
          <w:rFonts w:ascii="Tahoma" w:eastAsia="MS Mincho" w:hAnsi="Tahoma" w:cs="Tahoma"/>
          <w:bCs/>
          <w:sz w:val="20"/>
          <w:szCs w:val="20"/>
          <w:lang w:val="en-GB" w:eastAsia="ja-JP"/>
        </w:rPr>
        <w:t xml:space="preserve">The </w:t>
      </w:r>
      <w:hyperlink r:id="rId20" w:history="1">
        <w:r w:rsidRPr="00806CA2">
          <w:rPr>
            <w:rStyle w:val="Hyperlink"/>
            <w:rFonts w:ascii="Tahoma" w:eastAsia="MS Mincho" w:hAnsi="Tahoma" w:cs="Tahoma"/>
            <w:bCs/>
            <w:sz w:val="20"/>
            <w:szCs w:val="20"/>
            <w:lang w:val="en-GB" w:eastAsia="ja-JP"/>
          </w:rPr>
          <w:t>ETUCE Statement</w:t>
        </w:r>
      </w:hyperlink>
      <w:r w:rsidRPr="00806CA2">
        <w:rPr>
          <w:rFonts w:ascii="Tahoma" w:eastAsia="MS Mincho" w:hAnsi="Tahoma" w:cs="Tahoma"/>
          <w:bCs/>
          <w:sz w:val="20"/>
          <w:szCs w:val="20"/>
          <w:lang w:val="en-GB" w:eastAsia="ja-JP"/>
        </w:rPr>
        <w:t xml:space="preserve"> on Investment Protection in EU Investment agreement stresses that the Investor-State Dispute Settlement (ISDS) is a flawed mechanism, which is contradictory to and limiting on the </w:t>
      </w:r>
      <w:r w:rsidR="00111DB6">
        <w:rPr>
          <w:rFonts w:ascii="Tahoma" w:eastAsia="MS Mincho" w:hAnsi="Tahoma" w:cs="Tahoma"/>
          <w:bCs/>
          <w:sz w:val="20"/>
          <w:szCs w:val="20"/>
          <w:lang w:val="en-GB" w:eastAsia="ja-JP"/>
        </w:rPr>
        <w:t>right to regulate. It raises</w:t>
      </w:r>
      <w:r w:rsidRPr="00806CA2">
        <w:rPr>
          <w:rFonts w:ascii="Tahoma" w:eastAsia="MS Mincho" w:hAnsi="Tahoma" w:cs="Tahoma"/>
          <w:bCs/>
          <w:sz w:val="20"/>
          <w:szCs w:val="20"/>
          <w:lang w:val="en-GB" w:eastAsia="ja-JP"/>
        </w:rPr>
        <w:t xml:space="preserve"> specific concerns in respect to the education sector. Private companies could in the future challenge the quality and accreditation standards through ISDS if they felt these standards were "disguised barriers to trade" or "more burdensome than necessary". As emphasised in the </w:t>
      </w:r>
      <w:r w:rsidR="00B61194">
        <w:rPr>
          <w:rFonts w:ascii="Tahoma" w:eastAsia="MS Mincho" w:hAnsi="Tahoma" w:cs="Tahoma"/>
          <w:bCs/>
          <w:sz w:val="20"/>
          <w:szCs w:val="20"/>
          <w:lang w:val="en-GB" w:eastAsia="ja-JP"/>
        </w:rPr>
        <w:t>s</w:t>
      </w:r>
      <w:r w:rsidRPr="00806CA2">
        <w:rPr>
          <w:rFonts w:ascii="Tahoma" w:eastAsia="MS Mincho" w:hAnsi="Tahoma" w:cs="Tahoma"/>
          <w:bCs/>
          <w:sz w:val="20"/>
          <w:szCs w:val="20"/>
          <w:lang w:val="en-GB" w:eastAsia="ja-JP"/>
        </w:rPr>
        <w:t>tatement: "These quality and accreditation standards are crucial to ensure the quality of education and therefore ISDS poses very significant risks to the education sector and democratic decision-making in general".</w:t>
      </w:r>
      <w:r w:rsidR="001F744F" w:rsidRPr="00806CA2">
        <w:rPr>
          <w:rFonts w:ascii="Tahoma" w:eastAsia="MS Mincho" w:hAnsi="Tahoma" w:cs="Tahoma"/>
          <w:bCs/>
          <w:sz w:val="20"/>
          <w:szCs w:val="20"/>
          <w:lang w:val="en-GB" w:eastAsia="ja-JP"/>
        </w:rPr>
        <w:t xml:space="preserve"> </w:t>
      </w:r>
      <w:r w:rsidRPr="00806CA2">
        <w:rPr>
          <w:rFonts w:ascii="Tahoma" w:eastAsia="MS Mincho" w:hAnsi="Tahoma" w:cs="Tahoma"/>
          <w:bCs/>
          <w:sz w:val="20"/>
          <w:szCs w:val="20"/>
          <w:lang w:val="en-GB" w:eastAsia="ja-JP"/>
        </w:rPr>
        <w:t xml:space="preserve">More detailed information on the problems of ISDS is available in the study </w:t>
      </w:r>
      <w:hyperlink r:id="rId21" w:history="1">
        <w:r w:rsidRPr="00806CA2">
          <w:rPr>
            <w:rStyle w:val="Hyperlink"/>
            <w:rFonts w:ascii="Tahoma" w:eastAsia="MS Mincho" w:hAnsi="Tahoma" w:cs="Tahoma"/>
            <w:bCs/>
            <w:i/>
            <w:sz w:val="20"/>
            <w:szCs w:val="20"/>
            <w:lang w:val="en-GB" w:eastAsia="ja-JP"/>
          </w:rPr>
          <w:t>“Modalities for investment protection and Investor-State Dispute Settlement (ISDS) in TTIP from a trade union perspective”</w:t>
        </w:r>
      </w:hyperlink>
      <w:r w:rsidR="001F744F" w:rsidRPr="00806CA2">
        <w:rPr>
          <w:rStyle w:val="Hyperlink"/>
          <w:rFonts w:ascii="Tahoma" w:eastAsia="MS Mincho" w:hAnsi="Tahoma" w:cs="Tahoma"/>
          <w:bCs/>
          <w:i/>
          <w:sz w:val="20"/>
          <w:szCs w:val="20"/>
          <w:lang w:val="en-GB" w:eastAsia="ja-JP"/>
        </w:rPr>
        <w:t xml:space="preserve">. </w:t>
      </w:r>
    </w:p>
    <w:p w14:paraId="2A74E659" w14:textId="77777777" w:rsidR="001F744F" w:rsidRPr="00806CA2" w:rsidRDefault="001F744F" w:rsidP="00596913">
      <w:pPr>
        <w:rPr>
          <w:rStyle w:val="Hyperlink"/>
          <w:rFonts w:ascii="Tahoma" w:eastAsia="MS Mincho" w:hAnsi="Tahoma" w:cs="Tahoma"/>
          <w:bCs/>
          <w:i/>
          <w:sz w:val="20"/>
          <w:szCs w:val="20"/>
          <w:lang w:val="en-GB" w:eastAsia="ja-JP"/>
        </w:rPr>
      </w:pPr>
    </w:p>
    <w:p w14:paraId="61B5B52E" w14:textId="75A02711" w:rsidR="001F744F" w:rsidRPr="00806CA2" w:rsidRDefault="006A711F" w:rsidP="00596913">
      <w:pPr>
        <w:rPr>
          <w:rFonts w:ascii="Tahoma" w:hAnsi="Tahoma" w:cs="Tahoma"/>
          <w:sz w:val="20"/>
          <w:szCs w:val="20"/>
          <w:lang w:val="en-GB"/>
        </w:rPr>
      </w:pPr>
      <w:r>
        <w:rPr>
          <w:rFonts w:ascii="Tahoma" w:hAnsi="Tahoma" w:cs="Tahoma"/>
          <w:sz w:val="20"/>
          <w:szCs w:val="20"/>
          <w:lang w:val="en-GB"/>
        </w:rPr>
        <w:t>Revised</w:t>
      </w:r>
      <w:r w:rsidR="001F744F" w:rsidRPr="00806CA2">
        <w:rPr>
          <w:rFonts w:ascii="Tahoma" w:hAnsi="Tahoma" w:cs="Tahoma"/>
          <w:sz w:val="20"/>
          <w:szCs w:val="20"/>
          <w:lang w:val="en-GB"/>
        </w:rPr>
        <w:t xml:space="preserve"> services offers were exchanged </w:t>
      </w:r>
      <w:r>
        <w:rPr>
          <w:rFonts w:ascii="Tahoma" w:hAnsi="Tahoma" w:cs="Tahoma"/>
          <w:sz w:val="20"/>
          <w:szCs w:val="20"/>
          <w:lang w:val="en-GB"/>
        </w:rPr>
        <w:t>in July 2015 and</w:t>
      </w:r>
      <w:r w:rsidR="00111DB6">
        <w:rPr>
          <w:rFonts w:ascii="Tahoma" w:hAnsi="Tahoma" w:cs="Tahoma"/>
          <w:sz w:val="20"/>
          <w:szCs w:val="20"/>
          <w:lang w:val="en-GB"/>
        </w:rPr>
        <w:t xml:space="preserve"> currently under</w:t>
      </w:r>
      <w:r>
        <w:rPr>
          <w:rFonts w:ascii="Tahoma" w:hAnsi="Tahoma" w:cs="Tahoma"/>
          <w:sz w:val="20"/>
          <w:szCs w:val="20"/>
          <w:lang w:val="en-GB"/>
        </w:rPr>
        <w:t xml:space="preserve"> discussion.</w:t>
      </w:r>
      <w:r w:rsidR="00111DB6">
        <w:rPr>
          <w:rFonts w:ascii="Tahoma" w:hAnsi="Tahoma" w:cs="Tahoma"/>
          <w:sz w:val="20"/>
          <w:szCs w:val="20"/>
          <w:lang w:val="en-GB"/>
        </w:rPr>
        <w:t xml:space="preserve"> </w:t>
      </w:r>
      <w:r w:rsidR="00F4196E">
        <w:rPr>
          <w:rFonts w:ascii="Tahoma" w:hAnsi="Tahoma" w:cs="Tahoma"/>
          <w:sz w:val="20"/>
          <w:szCs w:val="20"/>
          <w:lang w:val="en-GB"/>
        </w:rPr>
        <w:t xml:space="preserve">According to the </w:t>
      </w:r>
      <w:hyperlink r:id="rId22" w:history="1">
        <w:r w:rsidR="00F4196E" w:rsidRPr="00E95004">
          <w:rPr>
            <w:rStyle w:val="Hyperlink"/>
            <w:rFonts w:ascii="Tahoma" w:hAnsi="Tahoma" w:cs="Tahoma"/>
            <w:sz w:val="20"/>
            <w:szCs w:val="20"/>
            <w:lang w:val="en-GB"/>
          </w:rPr>
          <w:t>EC report</w:t>
        </w:r>
      </w:hyperlink>
      <w:r w:rsidR="00E95004">
        <w:rPr>
          <w:rFonts w:ascii="Tahoma" w:hAnsi="Tahoma" w:cs="Tahoma"/>
          <w:sz w:val="20"/>
          <w:szCs w:val="20"/>
          <w:lang w:val="en-GB"/>
        </w:rPr>
        <w:t xml:space="preserve"> of the 14th</w:t>
      </w:r>
      <w:r w:rsidR="00F4196E">
        <w:rPr>
          <w:rFonts w:ascii="Tahoma" w:hAnsi="Tahoma" w:cs="Tahoma"/>
          <w:sz w:val="20"/>
          <w:szCs w:val="20"/>
          <w:lang w:val="en-GB"/>
        </w:rPr>
        <w:t xml:space="preserve"> round </w:t>
      </w:r>
      <w:r w:rsidR="0025237E">
        <w:rPr>
          <w:rFonts w:ascii="Tahoma" w:hAnsi="Tahoma" w:cs="Tahoma"/>
          <w:sz w:val="20"/>
          <w:szCs w:val="20"/>
          <w:lang w:val="en-GB"/>
        </w:rPr>
        <w:t>of negotiations the Parties exchanged factual information on the scope of their offers</w:t>
      </w:r>
      <w:r w:rsidR="00F4196E">
        <w:rPr>
          <w:rFonts w:ascii="Tahoma" w:hAnsi="Tahoma" w:cs="Tahoma"/>
          <w:sz w:val="20"/>
          <w:szCs w:val="20"/>
          <w:lang w:val="en-GB"/>
        </w:rPr>
        <w:t>.</w:t>
      </w:r>
      <w:r w:rsidR="0025237E">
        <w:rPr>
          <w:rFonts w:ascii="Tahoma" w:hAnsi="Tahoma" w:cs="Tahoma"/>
          <w:sz w:val="20"/>
          <w:szCs w:val="20"/>
          <w:lang w:val="en-GB"/>
        </w:rPr>
        <w:t xml:space="preserve"> Domestic regulation and mutual recognition agreements were discussed too and in the EU there is an ongoing consultation with Member States.</w:t>
      </w:r>
      <w:r w:rsidR="00111DB6">
        <w:rPr>
          <w:rFonts w:ascii="Tahoma" w:hAnsi="Tahoma" w:cs="Tahoma"/>
          <w:sz w:val="20"/>
          <w:szCs w:val="20"/>
          <w:lang w:val="en-GB"/>
        </w:rPr>
        <w:t xml:space="preserve"> </w:t>
      </w:r>
      <w:r w:rsidR="00E95004">
        <w:rPr>
          <w:rFonts w:ascii="Tahoma" w:hAnsi="Tahoma" w:cs="Tahoma"/>
          <w:sz w:val="20"/>
          <w:szCs w:val="20"/>
          <w:lang w:val="en-GB"/>
        </w:rPr>
        <w:t>It is not evident whether the</w:t>
      </w:r>
      <w:r w:rsidR="001F744F" w:rsidRPr="00806CA2">
        <w:rPr>
          <w:rFonts w:ascii="Tahoma" w:hAnsi="Tahoma" w:cs="Tahoma"/>
          <w:sz w:val="20"/>
          <w:szCs w:val="20"/>
          <w:lang w:val="en-GB"/>
        </w:rPr>
        <w:t xml:space="preserve"> disagreement </w:t>
      </w:r>
      <w:r w:rsidR="00E95004">
        <w:rPr>
          <w:rFonts w:ascii="Tahoma" w:hAnsi="Tahoma" w:cs="Tahoma"/>
          <w:sz w:val="20"/>
          <w:szCs w:val="20"/>
          <w:lang w:val="en-GB"/>
        </w:rPr>
        <w:t>on the</w:t>
      </w:r>
      <w:r w:rsidR="001F744F" w:rsidRPr="00806CA2">
        <w:rPr>
          <w:rFonts w:ascii="Tahoma" w:hAnsi="Tahoma" w:cs="Tahoma"/>
          <w:sz w:val="20"/>
          <w:szCs w:val="20"/>
          <w:lang w:val="en-GB"/>
        </w:rPr>
        <w:t xml:space="preserve"> listing approach </w:t>
      </w:r>
      <w:r w:rsidR="00E95004">
        <w:rPr>
          <w:rFonts w:ascii="Tahoma" w:hAnsi="Tahoma" w:cs="Tahoma"/>
          <w:sz w:val="20"/>
          <w:szCs w:val="20"/>
          <w:lang w:val="en-GB"/>
        </w:rPr>
        <w:t>has been solved</w:t>
      </w:r>
      <w:r w:rsidR="001F744F" w:rsidRPr="00806CA2">
        <w:rPr>
          <w:rFonts w:ascii="Tahoma" w:hAnsi="Tahoma" w:cs="Tahoma"/>
          <w:sz w:val="20"/>
          <w:szCs w:val="20"/>
          <w:lang w:val="en-GB"/>
        </w:rPr>
        <w:t>. The US traditionally uses the negative list approach, while the EU traditionally uses the positive list approach, but the EU’s services offer is based on a hybrid approach consisting of a negative list regarding national treatment and a positive list regarding market access.</w:t>
      </w:r>
      <w:r w:rsidR="00213C84" w:rsidRPr="00806CA2">
        <w:rPr>
          <w:rFonts w:ascii="Tahoma" w:hAnsi="Tahoma" w:cs="Tahoma"/>
          <w:sz w:val="20"/>
          <w:szCs w:val="20"/>
          <w:lang w:val="en-GB"/>
        </w:rPr>
        <w:t xml:space="preserve"> The European Commission published its revised services offer on 31 July 2015, however the European Commission has stated that they expect that majority of the changes will come later in the negotiations. The framework agreement of the EU’s offer covers a very broad range of services, while there is not a single reference to any exception for public services or Services of General Interest from the scope of the agreement, only to governmental authority which is not adequate to protect public services like education. In contrast, the framework agreement repeatedly mentions that measures should “not be more burdensome than necessary”. In addition</w:t>
      </w:r>
      <w:r w:rsidR="007B5A7A" w:rsidRPr="00806CA2">
        <w:rPr>
          <w:rFonts w:ascii="Tahoma" w:hAnsi="Tahoma" w:cs="Tahoma"/>
          <w:sz w:val="20"/>
          <w:szCs w:val="20"/>
          <w:lang w:val="en-GB"/>
        </w:rPr>
        <w:t>, the services offer includes</w:t>
      </w:r>
      <w:r w:rsidR="00213C84" w:rsidRPr="00806CA2">
        <w:rPr>
          <w:rFonts w:ascii="Tahoma" w:hAnsi="Tahoma" w:cs="Tahoma"/>
          <w:sz w:val="20"/>
          <w:szCs w:val="20"/>
          <w:lang w:val="en-GB"/>
        </w:rPr>
        <w:t xml:space="preserve"> 3 annexes</w:t>
      </w:r>
      <w:r w:rsidR="007B5A7A" w:rsidRPr="00806CA2">
        <w:rPr>
          <w:rFonts w:ascii="Tahoma" w:hAnsi="Tahoma" w:cs="Tahoma"/>
          <w:sz w:val="20"/>
          <w:szCs w:val="20"/>
          <w:lang w:val="en-GB"/>
        </w:rPr>
        <w:t>. Annex 1 and 2 applies the negative list and annex 3 applies the positive list.</w:t>
      </w:r>
      <w:r w:rsidR="00213C84" w:rsidRPr="00806CA2">
        <w:rPr>
          <w:rFonts w:ascii="Tahoma" w:hAnsi="Tahoma" w:cs="Tahoma"/>
          <w:sz w:val="20"/>
          <w:szCs w:val="20"/>
          <w:lang w:val="en-GB"/>
        </w:rPr>
        <w:t xml:space="preserve"> </w:t>
      </w:r>
      <w:r w:rsidR="00CF6412" w:rsidRPr="00806CA2">
        <w:rPr>
          <w:rFonts w:ascii="Tahoma" w:hAnsi="Tahoma" w:cs="Tahoma"/>
          <w:sz w:val="20"/>
          <w:szCs w:val="20"/>
          <w:lang w:val="en-GB"/>
        </w:rPr>
        <w:t>The reservation on publ</w:t>
      </w:r>
      <w:r>
        <w:rPr>
          <w:rFonts w:ascii="Tahoma" w:hAnsi="Tahoma" w:cs="Tahoma"/>
          <w:sz w:val="20"/>
          <w:szCs w:val="20"/>
          <w:lang w:val="en-GB"/>
        </w:rPr>
        <w:t>ic education (see footnote 1</w:t>
      </w:r>
      <w:r w:rsidR="00E95004">
        <w:rPr>
          <w:rFonts w:ascii="Tahoma" w:hAnsi="Tahoma" w:cs="Tahoma"/>
          <w:sz w:val="20"/>
          <w:szCs w:val="20"/>
          <w:lang w:val="en-GB"/>
        </w:rPr>
        <w:t xml:space="preserve"> on page 3</w:t>
      </w:r>
      <w:r w:rsidR="00CF6412" w:rsidRPr="00806CA2">
        <w:rPr>
          <w:rFonts w:ascii="Tahoma" w:hAnsi="Tahoma" w:cs="Tahoma"/>
          <w:sz w:val="20"/>
          <w:szCs w:val="20"/>
          <w:lang w:val="en-GB"/>
        </w:rPr>
        <w:t xml:space="preserve">) is a better definition than the one included in GATS, however </w:t>
      </w:r>
      <w:r w:rsidR="00CF6412" w:rsidRPr="00806CA2">
        <w:rPr>
          <w:rFonts w:ascii="Tahoma" w:hAnsi="Tahoma" w:cs="Tahoma"/>
          <w:sz w:val="20"/>
          <w:szCs w:val="20"/>
          <w:lang w:val="en-GB"/>
        </w:rPr>
        <w:lastRenderedPageBreak/>
        <w:t xml:space="preserve">the protection may still be limited due to its location in the annexes rather than in the framework agreement. A proper carve-out in the framework agreement would apply to annexes and later </w:t>
      </w:r>
      <w:r w:rsidR="009615DB" w:rsidRPr="00806CA2">
        <w:rPr>
          <w:rFonts w:ascii="Tahoma" w:hAnsi="Tahoma" w:cs="Tahoma"/>
          <w:sz w:val="20"/>
          <w:szCs w:val="20"/>
          <w:lang w:val="en-GB"/>
        </w:rPr>
        <w:t>revisions and thereby yield better protection to</w:t>
      </w:r>
      <w:r w:rsidR="00072FF0" w:rsidRPr="00806CA2">
        <w:rPr>
          <w:rFonts w:ascii="Tahoma" w:hAnsi="Tahoma" w:cs="Tahoma"/>
          <w:sz w:val="20"/>
          <w:szCs w:val="20"/>
          <w:lang w:val="en-GB"/>
        </w:rPr>
        <w:t xml:space="preserve"> public services</w:t>
      </w:r>
      <w:r w:rsidR="00E95004">
        <w:rPr>
          <w:rFonts w:ascii="Tahoma" w:hAnsi="Tahoma" w:cs="Tahoma"/>
          <w:sz w:val="20"/>
          <w:szCs w:val="20"/>
          <w:lang w:val="en-GB"/>
        </w:rPr>
        <w:t>,</w:t>
      </w:r>
      <w:r w:rsidR="00072FF0" w:rsidRPr="00806CA2">
        <w:rPr>
          <w:rFonts w:ascii="Tahoma" w:hAnsi="Tahoma" w:cs="Tahoma"/>
          <w:sz w:val="20"/>
          <w:szCs w:val="20"/>
          <w:lang w:val="en-GB"/>
        </w:rPr>
        <w:t xml:space="preserve"> including</w:t>
      </w:r>
      <w:r w:rsidR="009615DB" w:rsidRPr="00806CA2">
        <w:rPr>
          <w:rFonts w:ascii="Tahoma" w:hAnsi="Tahoma" w:cs="Tahoma"/>
          <w:sz w:val="20"/>
          <w:szCs w:val="20"/>
          <w:lang w:val="en-GB"/>
        </w:rPr>
        <w:t xml:space="preserve"> education. </w:t>
      </w:r>
      <w:r w:rsidR="00CF6412" w:rsidRPr="00806CA2">
        <w:rPr>
          <w:rFonts w:ascii="Tahoma" w:hAnsi="Tahoma" w:cs="Tahoma"/>
          <w:sz w:val="20"/>
          <w:szCs w:val="20"/>
          <w:lang w:val="en-GB"/>
        </w:rPr>
        <w:t xml:space="preserve"> </w:t>
      </w:r>
    </w:p>
    <w:p w14:paraId="12F47F2E" w14:textId="77777777" w:rsidR="005349BA" w:rsidRPr="00806CA2" w:rsidRDefault="005349BA" w:rsidP="00596913">
      <w:pPr>
        <w:rPr>
          <w:rFonts w:ascii="Tahoma" w:hAnsi="Tahoma" w:cs="Tahoma"/>
          <w:sz w:val="20"/>
          <w:szCs w:val="20"/>
          <w:lang w:val="en-GB"/>
        </w:rPr>
      </w:pPr>
    </w:p>
    <w:p w14:paraId="48BFB68A" w14:textId="77777777" w:rsidR="005349BA" w:rsidRPr="00806CA2" w:rsidRDefault="007F588B" w:rsidP="00596913">
      <w:pPr>
        <w:rPr>
          <w:rFonts w:ascii="Tahoma" w:eastAsia="MS Mincho" w:hAnsi="Tahoma" w:cs="Tahoma"/>
          <w:bCs/>
          <w:sz w:val="20"/>
          <w:szCs w:val="20"/>
          <w:lang w:val="en-GB" w:eastAsia="ja-JP"/>
        </w:rPr>
      </w:pPr>
      <w:r w:rsidRPr="00806CA2">
        <w:rPr>
          <w:rFonts w:ascii="Tahoma" w:eastAsia="MS Mincho" w:hAnsi="Tahoma" w:cs="Tahoma"/>
          <w:bCs/>
          <w:sz w:val="20"/>
          <w:szCs w:val="20"/>
          <w:lang w:val="en-GB" w:eastAsia="ja-JP"/>
        </w:rPr>
        <w:t xml:space="preserve">TTIP intends to include substantial regulatory cooperation including new rules, standards and procedures in a number of areas not covered by other trade agreements. There is also a proposal to establish a Regulatory Cooperation Body (RCB). </w:t>
      </w:r>
      <w:r w:rsidR="005349BA" w:rsidRPr="00806CA2">
        <w:rPr>
          <w:rFonts w:ascii="Tahoma" w:eastAsia="MS Mincho" w:hAnsi="Tahoma" w:cs="Tahoma"/>
          <w:bCs/>
          <w:sz w:val="20"/>
          <w:szCs w:val="20"/>
          <w:lang w:val="en-GB" w:eastAsia="ja-JP"/>
        </w:rPr>
        <w:t xml:space="preserve">This body would bring together representatives of regulatory agencies in the EU and US to monitor the implementation of commitments made and consider new priorities for regulatory cooperation including joint development of  future regulations. The European Commission claims that the negotiators will establish the framework of such a regulatory cooperation and that regulators will do the "technical work". Nevertheless, the proposal would mean that the Cooperation Council would consider both new legislation and non-legislative acts. </w:t>
      </w:r>
      <w:r w:rsidRPr="00806CA2">
        <w:rPr>
          <w:rFonts w:ascii="Tahoma" w:eastAsia="MS Mincho" w:hAnsi="Tahoma" w:cs="Tahoma"/>
          <w:bCs/>
          <w:sz w:val="20"/>
          <w:szCs w:val="20"/>
          <w:lang w:val="en-GB" w:eastAsia="ja-JP"/>
        </w:rPr>
        <w:t>The regulatory cooperation could potentially imply potential serious implications for the education sector</w:t>
      </w:r>
      <w:r w:rsidR="00E8107B" w:rsidRPr="00806CA2">
        <w:rPr>
          <w:rFonts w:ascii="Tahoma" w:eastAsia="MS Mincho" w:hAnsi="Tahoma" w:cs="Tahoma"/>
          <w:bCs/>
          <w:sz w:val="20"/>
          <w:szCs w:val="20"/>
          <w:lang w:val="en-GB" w:eastAsia="ja-JP"/>
        </w:rPr>
        <w:t xml:space="preserve"> as the regulatory cooperation intends to cover </w:t>
      </w:r>
      <w:r w:rsidRPr="00806CA2">
        <w:rPr>
          <w:rFonts w:ascii="Tahoma" w:eastAsia="MS Mincho" w:hAnsi="Tahoma" w:cs="Tahoma"/>
          <w:bCs/>
          <w:sz w:val="20"/>
          <w:szCs w:val="20"/>
          <w:lang w:val="en-GB" w:eastAsia="ja-JP"/>
        </w:rPr>
        <w:t xml:space="preserve">authorisation, licensing and qualification </w:t>
      </w:r>
      <w:r w:rsidR="00E8107B" w:rsidRPr="00806CA2">
        <w:rPr>
          <w:rFonts w:ascii="Tahoma" w:eastAsia="MS Mincho" w:hAnsi="Tahoma" w:cs="Tahoma"/>
          <w:bCs/>
          <w:sz w:val="20"/>
          <w:szCs w:val="20"/>
          <w:lang w:val="en-GB" w:eastAsia="ja-JP"/>
        </w:rPr>
        <w:t xml:space="preserve">requirements. </w:t>
      </w:r>
    </w:p>
    <w:p w14:paraId="7DCABA20" w14:textId="77777777" w:rsidR="00987410" w:rsidRPr="00806CA2" w:rsidRDefault="00987410" w:rsidP="00596913">
      <w:pPr>
        <w:rPr>
          <w:rFonts w:ascii="Tahoma" w:hAnsi="Tahoma" w:cs="Tahoma"/>
          <w:sz w:val="20"/>
          <w:szCs w:val="20"/>
          <w:lang w:val="en-GB"/>
        </w:rPr>
      </w:pPr>
    </w:p>
    <w:p w14:paraId="65535057" w14:textId="2C65FA8C" w:rsidR="00217E53" w:rsidRDefault="00987410" w:rsidP="00596913">
      <w:pPr>
        <w:rPr>
          <w:rFonts w:ascii="Tahoma" w:hAnsi="Tahoma" w:cs="Tahoma"/>
          <w:sz w:val="20"/>
          <w:szCs w:val="20"/>
          <w:lang w:val="en-GB"/>
        </w:rPr>
      </w:pPr>
      <w:r w:rsidRPr="00806CA2">
        <w:rPr>
          <w:rFonts w:ascii="Tahoma" w:hAnsi="Tahoma" w:cs="Tahoma"/>
          <w:sz w:val="20"/>
          <w:szCs w:val="20"/>
          <w:lang w:val="en-GB"/>
        </w:rPr>
        <w:t xml:space="preserve">The European Parliament (EP) adopted with clear majority its </w:t>
      </w:r>
      <w:hyperlink r:id="rId23" w:history="1">
        <w:r w:rsidRPr="00060AA0">
          <w:rPr>
            <w:rStyle w:val="Hyperlink"/>
            <w:rFonts w:ascii="Tahoma" w:hAnsi="Tahoma" w:cs="Tahoma"/>
            <w:sz w:val="20"/>
            <w:szCs w:val="20"/>
            <w:lang w:val="en-GB"/>
          </w:rPr>
          <w:t>TTIP recommendations</w:t>
        </w:r>
      </w:hyperlink>
      <w:r w:rsidRPr="00806CA2">
        <w:rPr>
          <w:rFonts w:ascii="Tahoma" w:hAnsi="Tahoma" w:cs="Tahoma"/>
          <w:sz w:val="20"/>
          <w:szCs w:val="20"/>
          <w:lang w:val="en-GB"/>
        </w:rPr>
        <w:t xml:space="preserve"> on 8 July 2015. The Committee on international trade (INTA) was responsible for drafting the recommendations, but 14 other committees</w:t>
      </w:r>
      <w:r w:rsidR="00070AA0">
        <w:rPr>
          <w:rFonts w:ascii="Tahoma" w:hAnsi="Tahoma" w:cs="Tahoma"/>
          <w:sz w:val="20"/>
          <w:szCs w:val="20"/>
          <w:lang w:val="en-GB"/>
        </w:rPr>
        <w:t xml:space="preserve">, including the </w:t>
      </w:r>
      <w:r w:rsidR="00242CDF" w:rsidRPr="00242CDF">
        <w:rPr>
          <w:rFonts w:ascii="Tahoma" w:hAnsi="Tahoma" w:cs="Tahoma"/>
          <w:sz w:val="20"/>
          <w:szCs w:val="20"/>
          <w:lang w:val="en-GB"/>
        </w:rPr>
        <w:t>Com</w:t>
      </w:r>
      <w:r w:rsidR="00242CDF">
        <w:rPr>
          <w:rFonts w:ascii="Tahoma" w:hAnsi="Tahoma" w:cs="Tahoma"/>
          <w:sz w:val="20"/>
          <w:szCs w:val="20"/>
          <w:lang w:val="en-GB"/>
        </w:rPr>
        <w:t>mittee on Culture and Education,</w:t>
      </w:r>
      <w:r w:rsidRPr="00806CA2">
        <w:rPr>
          <w:rFonts w:ascii="Tahoma" w:hAnsi="Tahoma" w:cs="Tahoma"/>
          <w:sz w:val="20"/>
          <w:szCs w:val="20"/>
          <w:lang w:val="en-GB"/>
        </w:rPr>
        <w:t xml:space="preserve"> were involved in the process.</w:t>
      </w:r>
    </w:p>
    <w:p w14:paraId="0C3B27E2" w14:textId="77777777" w:rsidR="005F41D8" w:rsidRDefault="005F41D8" w:rsidP="00596913">
      <w:pPr>
        <w:rPr>
          <w:rFonts w:ascii="Tahoma" w:hAnsi="Tahoma" w:cs="Tahoma"/>
          <w:sz w:val="20"/>
          <w:szCs w:val="20"/>
          <w:lang w:val="en-GB"/>
        </w:rPr>
      </w:pPr>
    </w:p>
    <w:p w14:paraId="59D935FA" w14:textId="77777777" w:rsidR="00CF0AFF" w:rsidRDefault="007375E8" w:rsidP="00596913">
      <w:pPr>
        <w:pStyle w:val="ListParagraph"/>
        <w:numPr>
          <w:ilvl w:val="0"/>
          <w:numId w:val="34"/>
        </w:numPr>
        <w:rPr>
          <w:rFonts w:ascii="Tahoma" w:hAnsi="Tahoma" w:cs="Tahoma"/>
          <w:b/>
          <w:sz w:val="20"/>
          <w:szCs w:val="20"/>
          <w:lang w:val="en-GB"/>
        </w:rPr>
      </w:pPr>
      <w:r>
        <w:rPr>
          <w:rFonts w:ascii="Tahoma" w:hAnsi="Tahoma" w:cs="Tahoma"/>
          <w:b/>
          <w:sz w:val="20"/>
          <w:szCs w:val="20"/>
          <w:lang w:val="en-GB"/>
        </w:rPr>
        <w:t xml:space="preserve">Trans-Pacific </w:t>
      </w:r>
      <w:r w:rsidRPr="00806CA2">
        <w:rPr>
          <w:rFonts w:ascii="Tahoma" w:hAnsi="Tahoma" w:cs="Tahoma"/>
          <w:b/>
          <w:sz w:val="20"/>
          <w:szCs w:val="20"/>
          <w:lang w:val="en-GB"/>
        </w:rPr>
        <w:t xml:space="preserve"> </w:t>
      </w:r>
      <w:r>
        <w:rPr>
          <w:rFonts w:ascii="Tahoma" w:hAnsi="Tahoma" w:cs="Tahoma"/>
          <w:b/>
          <w:sz w:val="20"/>
          <w:szCs w:val="20"/>
          <w:lang w:val="en-GB"/>
        </w:rPr>
        <w:t xml:space="preserve">Partnership </w:t>
      </w:r>
      <w:r w:rsidRPr="00806CA2">
        <w:rPr>
          <w:rFonts w:ascii="Tahoma" w:hAnsi="Tahoma" w:cs="Tahoma"/>
          <w:b/>
          <w:sz w:val="20"/>
          <w:szCs w:val="20"/>
          <w:lang w:val="en-GB"/>
        </w:rPr>
        <w:t>(</w:t>
      </w:r>
      <w:r>
        <w:rPr>
          <w:rFonts w:ascii="Tahoma" w:hAnsi="Tahoma" w:cs="Tahoma"/>
          <w:b/>
          <w:sz w:val="20"/>
          <w:szCs w:val="20"/>
          <w:lang w:val="en-GB"/>
        </w:rPr>
        <w:t>TPP</w:t>
      </w:r>
      <w:r w:rsidRPr="00806CA2">
        <w:rPr>
          <w:rFonts w:ascii="Tahoma" w:hAnsi="Tahoma" w:cs="Tahoma"/>
          <w:b/>
          <w:sz w:val="20"/>
          <w:szCs w:val="20"/>
          <w:lang w:val="en-GB"/>
        </w:rPr>
        <w:t>)</w:t>
      </w:r>
    </w:p>
    <w:p w14:paraId="60D292B5" w14:textId="77777777" w:rsidR="00596913" w:rsidRDefault="00596913" w:rsidP="00596913">
      <w:pPr>
        <w:rPr>
          <w:rFonts w:ascii="Tahoma" w:hAnsi="Tahoma" w:cs="Tahoma"/>
          <w:sz w:val="20"/>
          <w:szCs w:val="20"/>
          <w:lang w:val="en-GB"/>
        </w:rPr>
      </w:pPr>
    </w:p>
    <w:p w14:paraId="158594B5" w14:textId="008A9DC1" w:rsidR="007375E8" w:rsidRPr="00CF0AFF" w:rsidRDefault="007375E8" w:rsidP="00596913">
      <w:pPr>
        <w:rPr>
          <w:rFonts w:ascii="Tahoma" w:hAnsi="Tahoma" w:cs="Tahoma"/>
          <w:b/>
          <w:sz w:val="20"/>
          <w:szCs w:val="20"/>
          <w:lang w:val="en-GB"/>
        </w:rPr>
      </w:pPr>
      <w:r w:rsidRPr="00CF0AFF">
        <w:rPr>
          <w:rFonts w:ascii="Tahoma" w:hAnsi="Tahoma" w:cs="Tahoma"/>
          <w:sz w:val="20"/>
          <w:szCs w:val="20"/>
          <w:lang w:val="en-GB"/>
        </w:rPr>
        <w:t xml:space="preserve">The Trans-Pacific Partnership (TPP) is a comprehensive trade and investment agreement covering 40% of the global economy. The TPP was concluded on 5th October 2015 after more than 5 years of secret negotiations. On 5th November 2015, the full TPP text was released and on 26 January 2016 the legally </w:t>
      </w:r>
      <w:hyperlink r:id="rId24" w:history="1">
        <w:r w:rsidRPr="00CF0AFF">
          <w:rPr>
            <w:rStyle w:val="Hyperlink"/>
            <w:rFonts w:ascii="Tahoma" w:hAnsi="Tahoma" w:cs="Tahoma"/>
            <w:sz w:val="20"/>
            <w:szCs w:val="20"/>
            <w:lang w:val="en-GB"/>
          </w:rPr>
          <w:t>verified TTP text</w:t>
        </w:r>
      </w:hyperlink>
      <w:r w:rsidRPr="00CF0AFF">
        <w:rPr>
          <w:rFonts w:ascii="Tahoma" w:hAnsi="Tahoma" w:cs="Tahoma"/>
          <w:sz w:val="20"/>
          <w:szCs w:val="20"/>
          <w:lang w:val="en-GB"/>
        </w:rPr>
        <w:t xml:space="preserve"> was published. The following 12 countries are involved: Australia, Brunei, Canada, Chile, Japan, Malaysia, Mexico, New Zealand, Peru, Singapore, United States and Vietnam.  </w:t>
      </w:r>
    </w:p>
    <w:p w14:paraId="43BB2AA4" w14:textId="77777777" w:rsidR="00D03DA6" w:rsidRPr="007375E8" w:rsidRDefault="00D03DA6" w:rsidP="00596913">
      <w:pPr>
        <w:rPr>
          <w:rFonts w:ascii="Tahoma" w:hAnsi="Tahoma" w:cs="Tahoma"/>
          <w:b/>
          <w:sz w:val="20"/>
          <w:szCs w:val="20"/>
          <w:lang w:val="en-GB"/>
        </w:rPr>
      </w:pPr>
    </w:p>
    <w:p w14:paraId="7E5FAB11" w14:textId="0EBE56CD" w:rsidR="00217E53" w:rsidRDefault="007375E8" w:rsidP="00596913">
      <w:pPr>
        <w:rPr>
          <w:rFonts w:ascii="Tahoma" w:hAnsi="Tahoma" w:cs="Tahoma"/>
          <w:sz w:val="20"/>
          <w:szCs w:val="20"/>
          <w:lang w:val="en-GB"/>
        </w:rPr>
      </w:pPr>
      <w:r>
        <w:rPr>
          <w:rFonts w:ascii="Tahoma" w:hAnsi="Tahoma" w:cs="Tahoma"/>
          <w:sz w:val="20"/>
          <w:szCs w:val="20"/>
          <w:lang w:val="en-GB"/>
        </w:rPr>
        <w:t xml:space="preserve">TPP poses </w:t>
      </w:r>
      <w:r w:rsidRPr="007375E8">
        <w:rPr>
          <w:rFonts w:ascii="Tahoma" w:hAnsi="Tahoma" w:cs="Tahoma"/>
          <w:sz w:val="20"/>
          <w:szCs w:val="20"/>
          <w:lang w:val="en-GB"/>
        </w:rPr>
        <w:t>potential</w:t>
      </w:r>
      <w:r>
        <w:rPr>
          <w:rFonts w:ascii="Tahoma" w:hAnsi="Tahoma" w:cs="Tahoma"/>
          <w:sz w:val="20"/>
          <w:szCs w:val="20"/>
          <w:lang w:val="en-GB"/>
        </w:rPr>
        <w:t xml:space="preserve"> serious impacts on</w:t>
      </w:r>
      <w:r w:rsidRPr="007375E8">
        <w:rPr>
          <w:rFonts w:ascii="Tahoma" w:hAnsi="Tahoma" w:cs="Tahoma"/>
          <w:sz w:val="20"/>
          <w:szCs w:val="20"/>
          <w:lang w:val="en-GB"/>
        </w:rPr>
        <w:t xml:space="preserve"> the education sector based on an analysis of the</w:t>
      </w:r>
      <w:r>
        <w:rPr>
          <w:rFonts w:ascii="Tahoma" w:hAnsi="Tahoma" w:cs="Tahoma"/>
          <w:sz w:val="20"/>
          <w:szCs w:val="20"/>
          <w:lang w:val="en-GB"/>
        </w:rPr>
        <w:t xml:space="preserve"> final</w:t>
      </w:r>
      <w:r w:rsidRPr="007375E8">
        <w:rPr>
          <w:rFonts w:ascii="Tahoma" w:hAnsi="Tahoma" w:cs="Tahoma"/>
          <w:sz w:val="20"/>
          <w:szCs w:val="20"/>
          <w:lang w:val="en-GB"/>
        </w:rPr>
        <w:t xml:space="preserve"> text. Firstly, there is no explicit carve-out of education, thereby exposing the sector to greater privatisation and commer</w:t>
      </w:r>
      <w:r w:rsidR="00474193">
        <w:rPr>
          <w:rFonts w:ascii="Tahoma" w:hAnsi="Tahoma" w:cs="Tahoma"/>
          <w:sz w:val="20"/>
          <w:szCs w:val="20"/>
          <w:lang w:val="en-GB"/>
        </w:rPr>
        <w:t xml:space="preserve">cialisation and threatening </w:t>
      </w:r>
      <w:r w:rsidRPr="007375E8">
        <w:rPr>
          <w:rFonts w:ascii="Tahoma" w:hAnsi="Tahoma" w:cs="Tahoma"/>
          <w:sz w:val="20"/>
          <w:szCs w:val="20"/>
          <w:lang w:val="en-GB"/>
        </w:rPr>
        <w:t>free, public, and high-quality education. The TPP also places new restrictive rules on intellectual property, and includes the controversial ISDS (Investor-State Dispute Settlement) mechanism that gives foreign investors exclusive rights to challenge domestic laws and regulations, which they feel are unfavourable to their business, before private arbitration panels.</w:t>
      </w:r>
      <w:r w:rsidR="00932FC9">
        <w:rPr>
          <w:rFonts w:ascii="Tahoma" w:hAnsi="Tahoma" w:cs="Tahoma"/>
          <w:sz w:val="20"/>
          <w:szCs w:val="20"/>
          <w:lang w:val="en-GB"/>
        </w:rPr>
        <w:t xml:space="preserve"> For more information see </w:t>
      </w:r>
      <w:hyperlink r:id="rId25" w:history="1">
        <w:r w:rsidR="00932FC9" w:rsidRPr="00932FC9">
          <w:rPr>
            <w:rStyle w:val="Hyperlink"/>
            <w:rFonts w:ascii="Tahoma" w:hAnsi="Tahoma" w:cs="Tahoma"/>
            <w:sz w:val="20"/>
            <w:szCs w:val="20"/>
            <w:lang w:val="en-GB"/>
          </w:rPr>
          <w:t>the EI Briefing Note on the Trans-Pacific Partnership (TPP)</w:t>
        </w:r>
      </w:hyperlink>
      <w:r w:rsidR="00932FC9">
        <w:rPr>
          <w:rFonts w:ascii="Tahoma" w:hAnsi="Tahoma" w:cs="Tahoma"/>
          <w:sz w:val="20"/>
          <w:szCs w:val="20"/>
          <w:lang w:val="en-GB"/>
        </w:rPr>
        <w:t xml:space="preserve">. </w:t>
      </w:r>
    </w:p>
    <w:p w14:paraId="5EE76F1E" w14:textId="4070612A" w:rsidR="00932FC9" w:rsidRPr="00932FC9" w:rsidRDefault="00932FC9" w:rsidP="00596913">
      <w:pPr>
        <w:rPr>
          <w:rFonts w:ascii="Tahoma" w:hAnsi="Tahoma" w:cs="Tahoma"/>
          <w:sz w:val="20"/>
          <w:szCs w:val="20"/>
          <w:lang w:val="en-GB"/>
        </w:rPr>
      </w:pPr>
    </w:p>
    <w:p w14:paraId="324C6638" w14:textId="0A6BC073" w:rsidR="00932FC9" w:rsidRPr="00932FC9" w:rsidRDefault="00932FC9" w:rsidP="00596913">
      <w:pPr>
        <w:rPr>
          <w:rFonts w:ascii="Tahoma" w:hAnsi="Tahoma" w:cs="Tahoma"/>
          <w:sz w:val="20"/>
          <w:szCs w:val="20"/>
          <w:lang w:val="en-GB"/>
        </w:rPr>
      </w:pPr>
      <w:r w:rsidRPr="00932FC9">
        <w:rPr>
          <w:rFonts w:ascii="Tahoma" w:hAnsi="Tahoma" w:cs="Tahoma"/>
          <w:sz w:val="20"/>
          <w:szCs w:val="20"/>
          <w:lang w:val="en-GB"/>
        </w:rPr>
        <w:t>It is not evident that TPP will pass the US Congress,</w:t>
      </w:r>
      <w:r>
        <w:rPr>
          <w:rFonts w:ascii="Tahoma" w:hAnsi="Tahoma" w:cs="Tahoma"/>
          <w:sz w:val="20"/>
          <w:szCs w:val="20"/>
          <w:lang w:val="en-GB"/>
        </w:rPr>
        <w:t xml:space="preserve"> in particular not before the November 2016 presidential election. Accordingly, other TPP countries are also inclined to wait he outcome of the US presidential elections. </w:t>
      </w:r>
    </w:p>
    <w:p w14:paraId="3732B50B" w14:textId="77777777" w:rsidR="009926AF" w:rsidRPr="00806CA2" w:rsidRDefault="009926AF" w:rsidP="00596913">
      <w:pPr>
        <w:rPr>
          <w:rFonts w:ascii="Tahoma" w:hAnsi="Tahoma" w:cs="Tahoma"/>
          <w:sz w:val="20"/>
          <w:szCs w:val="20"/>
          <w:lang w:val="en-GB"/>
        </w:rPr>
      </w:pPr>
    </w:p>
    <w:sectPr w:rsidR="009926AF" w:rsidRPr="00806CA2" w:rsidSect="005F41D8">
      <w:headerReference w:type="default" r:id="rId26"/>
      <w:footerReference w:type="even" r:id="rId27"/>
      <w:footerReference w:type="default" r:id="rId28"/>
      <w:headerReference w:type="first" r:id="rId29"/>
      <w:pgSz w:w="11907" w:h="16840" w:code="9"/>
      <w:pgMar w:top="1418" w:right="1418" w:bottom="1418" w:left="1418" w:header="72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B5AE" w14:textId="77777777" w:rsidR="00227FC1" w:rsidRDefault="00227FC1">
      <w:r>
        <w:separator/>
      </w:r>
    </w:p>
  </w:endnote>
  <w:endnote w:type="continuationSeparator" w:id="0">
    <w:p w14:paraId="71653FE1" w14:textId="77777777" w:rsidR="00227FC1" w:rsidRDefault="0022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705A" w14:textId="77777777" w:rsidR="00227FC1" w:rsidRDefault="00227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40B41" w14:textId="77777777" w:rsidR="00227FC1" w:rsidRDefault="00227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851012"/>
      <w:docPartObj>
        <w:docPartGallery w:val="Page Numbers (Bottom of Page)"/>
        <w:docPartUnique/>
      </w:docPartObj>
    </w:sdtPr>
    <w:sdtEndPr>
      <w:rPr>
        <w:color w:val="808080" w:themeColor="background1" w:themeShade="80"/>
        <w:spacing w:val="60"/>
      </w:rPr>
    </w:sdtEndPr>
    <w:sdtContent>
      <w:p w14:paraId="4A4BE28D" w14:textId="1E34FEB1" w:rsidR="00227FC1" w:rsidRDefault="00227FC1">
        <w:pPr>
          <w:pStyle w:val="Footer"/>
          <w:pBdr>
            <w:top w:val="single" w:sz="4" w:space="1" w:color="D9D9D9" w:themeColor="background1" w:themeShade="D9"/>
          </w:pBdr>
          <w:jc w:val="right"/>
        </w:pPr>
        <w:r w:rsidRPr="005F41D8">
          <w:rPr>
            <w:rFonts w:ascii="Tahoma" w:hAnsi="Tahoma" w:cs="Tahoma"/>
            <w:b/>
            <w:bCs/>
            <w:color w:val="1F497D" w:themeColor="text2"/>
            <w:sz w:val="20"/>
            <w:szCs w:val="20"/>
          </w:rPr>
          <w:fldChar w:fldCharType="begin"/>
        </w:r>
        <w:r w:rsidRPr="005F41D8">
          <w:rPr>
            <w:rFonts w:ascii="Tahoma" w:hAnsi="Tahoma" w:cs="Tahoma"/>
            <w:b/>
            <w:bCs/>
            <w:color w:val="1F497D" w:themeColor="text2"/>
            <w:sz w:val="20"/>
            <w:szCs w:val="20"/>
          </w:rPr>
          <w:instrText xml:space="preserve"> PAGE   \* MERGEFORMAT </w:instrText>
        </w:r>
        <w:r w:rsidRPr="005F41D8">
          <w:rPr>
            <w:rFonts w:ascii="Tahoma" w:hAnsi="Tahoma" w:cs="Tahoma"/>
            <w:b/>
            <w:bCs/>
            <w:color w:val="1F497D" w:themeColor="text2"/>
            <w:sz w:val="20"/>
            <w:szCs w:val="20"/>
          </w:rPr>
          <w:fldChar w:fldCharType="separate"/>
        </w:r>
        <w:r w:rsidR="007C7179">
          <w:rPr>
            <w:rFonts w:ascii="Tahoma" w:hAnsi="Tahoma" w:cs="Tahoma"/>
            <w:b/>
            <w:bCs/>
            <w:noProof/>
            <w:color w:val="1F497D" w:themeColor="text2"/>
            <w:sz w:val="20"/>
            <w:szCs w:val="20"/>
          </w:rPr>
          <w:t>1</w:t>
        </w:r>
        <w:r w:rsidRPr="005F41D8">
          <w:rPr>
            <w:rFonts w:ascii="Tahoma" w:hAnsi="Tahoma" w:cs="Tahoma"/>
            <w:b/>
            <w:bCs/>
            <w:noProof/>
            <w:color w:val="1F497D" w:themeColor="text2"/>
            <w:sz w:val="20"/>
            <w:szCs w:val="20"/>
          </w:rPr>
          <w:fldChar w:fldCharType="end"/>
        </w:r>
        <w:r>
          <w:t xml:space="preserve"> | </w:t>
        </w:r>
        <w:r>
          <w:rPr>
            <w:color w:val="808080" w:themeColor="background1" w:themeShade="80"/>
            <w:spacing w:val="60"/>
          </w:rPr>
          <w:t>Page</w:t>
        </w:r>
      </w:p>
    </w:sdtContent>
  </w:sdt>
  <w:p w14:paraId="5C3F210C" w14:textId="77777777" w:rsidR="00227FC1" w:rsidRDefault="00227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F98B" w14:textId="77777777" w:rsidR="00227FC1" w:rsidRDefault="00227FC1">
      <w:r>
        <w:separator/>
      </w:r>
    </w:p>
  </w:footnote>
  <w:footnote w:type="continuationSeparator" w:id="0">
    <w:p w14:paraId="74462EB3" w14:textId="77777777" w:rsidR="00227FC1" w:rsidRDefault="00227FC1">
      <w:r>
        <w:continuationSeparator/>
      </w:r>
    </w:p>
  </w:footnote>
  <w:footnote w:id="1">
    <w:p w14:paraId="66FF79E0" w14:textId="77777777" w:rsidR="00227FC1" w:rsidRPr="00806CA2" w:rsidRDefault="00227FC1" w:rsidP="00895801">
      <w:pPr>
        <w:pStyle w:val="FootnoteText"/>
        <w:jc w:val="both"/>
        <w:rPr>
          <w:rFonts w:ascii="Times New Roman" w:hAnsi="Times New Roman"/>
          <w:i/>
          <w:sz w:val="20"/>
          <w:szCs w:val="20"/>
        </w:rPr>
      </w:pPr>
      <w:r>
        <w:rPr>
          <w:rStyle w:val="FootnoteReference"/>
        </w:rPr>
        <w:footnoteRef/>
      </w:r>
      <w:r>
        <w:t xml:space="preserve"> </w:t>
      </w:r>
      <w:r w:rsidRPr="00806CA2">
        <w:rPr>
          <w:rFonts w:ascii="Times New Roman" w:hAnsi="Times New Roman"/>
          <w:sz w:val="20"/>
          <w:szCs w:val="20"/>
        </w:rPr>
        <w:t xml:space="preserve">It reads </w:t>
      </w:r>
      <w:r w:rsidRPr="00806CA2">
        <w:rPr>
          <w:rFonts w:ascii="Times New Roman" w:hAnsi="Times New Roman"/>
          <w:i/>
          <w:sz w:val="20"/>
          <w:szCs w:val="20"/>
        </w:rPr>
        <w:t xml:space="preserve">“The EU reserves the right to adopt or maintain any measure with regard to the </w:t>
      </w:r>
      <w:r w:rsidRPr="00806CA2">
        <w:rPr>
          <w:rFonts w:ascii="Times New Roman" w:hAnsi="Times New Roman"/>
          <w:b/>
          <w:i/>
          <w:sz w:val="20"/>
          <w:szCs w:val="20"/>
        </w:rPr>
        <w:t>provision of all education services which receive public funding or State support in any form, and are therefore not considered to be privately funded</w:t>
      </w:r>
      <w:r w:rsidRPr="00806CA2">
        <w:rPr>
          <w:rFonts w:ascii="Times New Roman" w:hAnsi="Times New Roman"/>
          <w:i/>
          <w:sz w:val="20"/>
          <w:szCs w:val="20"/>
        </w:rPr>
        <w:t xml:space="preserve">. </w:t>
      </w:r>
    </w:p>
    <w:p w14:paraId="71F37CAF" w14:textId="77777777" w:rsidR="00227FC1" w:rsidRPr="00806CA2" w:rsidRDefault="00227FC1" w:rsidP="00895801">
      <w:pPr>
        <w:pStyle w:val="FootnoteText"/>
        <w:jc w:val="both"/>
        <w:rPr>
          <w:rFonts w:ascii="Times New Roman" w:hAnsi="Times New Roman"/>
          <w:i/>
          <w:sz w:val="20"/>
          <w:szCs w:val="20"/>
        </w:rPr>
      </w:pPr>
      <w:r w:rsidRPr="00806CA2">
        <w:rPr>
          <w:rFonts w:ascii="Times New Roman" w:hAnsi="Times New Roman"/>
          <w:i/>
          <w:sz w:val="20"/>
          <w:szCs w:val="20"/>
        </w:rPr>
        <w:t xml:space="preserve">The EU, except CZ, NL, SE, SK, reserves the right to adopt or maintain any measure with respect to the </w:t>
      </w:r>
      <w:r w:rsidRPr="00806CA2">
        <w:rPr>
          <w:rFonts w:ascii="Times New Roman" w:hAnsi="Times New Roman"/>
          <w:b/>
          <w:i/>
          <w:sz w:val="20"/>
          <w:szCs w:val="20"/>
        </w:rPr>
        <w:t xml:space="preserve">provision of privately funded other education services (CPC 929), which means other than those classified as being primary, secondary, higher and adult education services. </w:t>
      </w:r>
    </w:p>
    <w:p w14:paraId="0881E183" w14:textId="1B9173FD" w:rsidR="00227FC1" w:rsidRPr="00806CA2" w:rsidRDefault="00227FC1" w:rsidP="00895801">
      <w:pPr>
        <w:pStyle w:val="FootnoteText"/>
        <w:jc w:val="both"/>
        <w:rPr>
          <w:rFonts w:ascii="Times New Roman" w:hAnsi="Times New Roman"/>
          <w:i/>
          <w:sz w:val="20"/>
          <w:szCs w:val="20"/>
        </w:rPr>
      </w:pPr>
      <w:r w:rsidRPr="00806CA2">
        <w:rPr>
          <w:rFonts w:ascii="Times New Roman" w:hAnsi="Times New Roman"/>
          <w:b/>
          <w:i/>
          <w:sz w:val="20"/>
          <w:szCs w:val="20"/>
        </w:rPr>
        <w:t xml:space="preserve">Where the provision of privately funded education services by a foreign provider is permitted, participation of private operators in the education system may be subject to concession allocated on a non-discriminatory basis. </w:t>
      </w:r>
      <w:r w:rsidRPr="00806CA2">
        <w:rPr>
          <w:rFonts w:ascii="Times New Roman" w:hAnsi="Times New Roman"/>
          <w:i/>
          <w:sz w:val="20"/>
          <w:szCs w:val="20"/>
        </w:rPr>
        <w:t xml:space="preserve">”  </w:t>
      </w:r>
    </w:p>
  </w:footnote>
  <w:footnote w:id="2">
    <w:p w14:paraId="79B521B9" w14:textId="77777777" w:rsidR="00227FC1" w:rsidRPr="00806CA2" w:rsidRDefault="00227FC1" w:rsidP="00895801">
      <w:pPr>
        <w:pStyle w:val="FootnoteText"/>
        <w:rPr>
          <w:rFonts w:ascii="Times New Roman" w:hAnsi="Times New Roman"/>
          <w:i/>
          <w:sz w:val="20"/>
          <w:szCs w:val="20"/>
        </w:rPr>
      </w:pPr>
      <w:r>
        <w:rPr>
          <w:rStyle w:val="FootnoteReference"/>
        </w:rPr>
        <w:footnoteRef/>
      </w:r>
      <w:r>
        <w:t xml:space="preserve"> </w:t>
      </w:r>
      <w:r w:rsidRPr="00806CA2">
        <w:rPr>
          <w:rFonts w:ascii="Times New Roman" w:hAnsi="Times New Roman"/>
          <w:i/>
          <w:sz w:val="20"/>
          <w:szCs w:val="20"/>
        </w:rPr>
        <w:t xml:space="preserve">“In all Member States, services considered as public utilities at a national or local level may be subject to public monopolies or to exclusive rights granted to private operators. </w:t>
      </w:r>
    </w:p>
    <w:p w14:paraId="34DBACD2" w14:textId="77777777" w:rsidR="00227FC1" w:rsidRPr="00806CA2" w:rsidRDefault="00227FC1" w:rsidP="00895801">
      <w:pPr>
        <w:pStyle w:val="FootnoteText"/>
        <w:rPr>
          <w:rFonts w:ascii="Times New Roman" w:hAnsi="Times New Roman"/>
          <w:b/>
          <w:i/>
          <w:sz w:val="20"/>
          <w:szCs w:val="20"/>
        </w:rPr>
      </w:pPr>
      <w:r w:rsidRPr="00806CA2">
        <w:rPr>
          <w:rFonts w:ascii="Times New Roman" w:hAnsi="Times New Roman"/>
          <w:i/>
          <w:sz w:val="20"/>
          <w:szCs w:val="20"/>
        </w:rPr>
        <w:t xml:space="preserve">Public utilities exists in sectors such as related scientific and technical consulting services, R&amp;D services on social science and humanities, technical testing and analysis services, environmental services, health services, transport services and services auxiliary to all modes of transport. Exclusive rights on such services are often granted to private operators, for instance operators with concessions from public authorities, subject to specific service obligations. </w:t>
      </w:r>
      <w:r w:rsidRPr="00806CA2">
        <w:rPr>
          <w:rFonts w:ascii="Times New Roman" w:hAnsi="Times New Roman"/>
          <w:b/>
          <w:i/>
          <w:sz w:val="20"/>
          <w:szCs w:val="20"/>
        </w:rPr>
        <w:t xml:space="preserve">Given that public utilities often also exist at the sub-central level, detailed and exhaustive sector-specific scheduling is not practical. </w:t>
      </w:r>
    </w:p>
    <w:p w14:paraId="6A81BC71" w14:textId="77777777" w:rsidR="00227FC1" w:rsidRPr="00806CA2" w:rsidRDefault="00227FC1" w:rsidP="00895801">
      <w:pPr>
        <w:pStyle w:val="FootnoteText"/>
        <w:rPr>
          <w:rFonts w:ascii="Times New Roman" w:hAnsi="Times New Roman"/>
          <w:sz w:val="20"/>
          <w:szCs w:val="20"/>
        </w:rPr>
      </w:pPr>
      <w:r w:rsidRPr="00806CA2">
        <w:rPr>
          <w:rFonts w:ascii="Times New Roman" w:hAnsi="Times New Roman"/>
          <w:i/>
          <w:sz w:val="20"/>
          <w:szCs w:val="20"/>
        </w:rPr>
        <w:t xml:space="preserve">This reservation does not apply to telecommunications and to computer and related services.” </w:t>
      </w:r>
      <w:r w:rsidRPr="00806CA2">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6FEE" w14:textId="330DDFF0" w:rsidR="00596913" w:rsidRPr="00A62CE5" w:rsidRDefault="00596913" w:rsidP="00596913">
    <w:pPr>
      <w:pStyle w:val="Header"/>
      <w:rPr>
        <w:rFonts w:ascii="Tahoma" w:hAnsi="Tahoma" w:cs="Tahoma"/>
        <w:b/>
        <w:i/>
        <w:color w:val="808080"/>
        <w:sz w:val="22"/>
        <w:szCs w:val="22"/>
      </w:rPr>
    </w:pPr>
    <w:r w:rsidRPr="00596913">
      <w:rPr>
        <w:noProof/>
        <w:sz w:val="20"/>
        <w:szCs w:val="20"/>
        <w:lang w:bidi="ar-SA"/>
      </w:rPr>
      <w:drawing>
        <wp:anchor distT="0" distB="0" distL="114300" distR="114300" simplePos="0" relativeHeight="251668992" behindDoc="1" locked="0" layoutInCell="1" allowOverlap="1" wp14:anchorId="3D10B3EF" wp14:editId="44D3B3B0">
          <wp:simplePos x="0" y="0"/>
          <wp:positionH relativeFrom="column">
            <wp:posOffset>-457200</wp:posOffset>
          </wp:positionH>
          <wp:positionV relativeFrom="paragraph">
            <wp:posOffset>-121285</wp:posOffset>
          </wp:positionV>
          <wp:extent cx="334645" cy="3346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913">
      <w:rPr>
        <w:rFonts w:ascii="Arial Narrow" w:hAnsi="Arial Narrow" w:cs="Tahoma"/>
        <w:b/>
        <w:color w:val="3366FF"/>
        <w:sz w:val="20"/>
        <w:szCs w:val="20"/>
      </w:rPr>
      <w:t>Education International</w:t>
    </w:r>
    <w:r w:rsidRPr="00596913">
      <w:rPr>
        <w:rFonts w:ascii="Tahoma" w:hAnsi="Tahoma" w:cs="Tahoma"/>
        <w:b/>
        <w:color w:val="808080"/>
        <w:sz w:val="20"/>
        <w:szCs w:val="20"/>
      </w:rPr>
      <w:t xml:space="preserve">                                                   </w:t>
    </w:r>
    <w:r w:rsidRPr="00596913">
      <w:rPr>
        <w:sz w:val="20"/>
        <w:szCs w:val="20"/>
      </w:rPr>
      <w:t xml:space="preserve">                                                </w:t>
    </w:r>
    <w:r>
      <w:rPr>
        <w:sz w:val="14"/>
        <w:szCs w:val="14"/>
      </w:rPr>
      <w:t xml:space="preserve">         </w:t>
    </w:r>
    <w:r w:rsidRPr="00596913">
      <w:rPr>
        <w:sz w:val="14"/>
        <w:szCs w:val="14"/>
      </w:rPr>
      <w:t xml:space="preserve">          </w:t>
    </w:r>
  </w:p>
  <w:p w14:paraId="7290826A" w14:textId="77777777" w:rsidR="00227FC1" w:rsidRDefault="0022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14F1" w14:textId="77777777" w:rsidR="00227FC1" w:rsidRPr="00A62CE5" w:rsidRDefault="00227FC1" w:rsidP="00806CA2">
    <w:pPr>
      <w:pStyle w:val="Header"/>
      <w:rPr>
        <w:rFonts w:ascii="Tahoma" w:hAnsi="Tahoma" w:cs="Tahoma"/>
        <w:b/>
        <w:i/>
        <w:color w:val="808080"/>
      </w:rPr>
    </w:pPr>
    <w:r w:rsidRPr="00E5489D">
      <w:rPr>
        <w:noProof/>
        <w:sz w:val="20"/>
        <w:szCs w:val="20"/>
        <w:lang w:bidi="ar-SA"/>
      </w:rPr>
      <w:drawing>
        <wp:anchor distT="0" distB="0" distL="114300" distR="114300" simplePos="0" relativeHeight="251659264" behindDoc="1" locked="0" layoutInCell="1" allowOverlap="1" wp14:anchorId="7082660B" wp14:editId="5591A9B5">
          <wp:simplePos x="0" y="0"/>
          <wp:positionH relativeFrom="column">
            <wp:posOffset>-457200</wp:posOffset>
          </wp:positionH>
          <wp:positionV relativeFrom="paragraph">
            <wp:posOffset>-121285</wp:posOffset>
          </wp:positionV>
          <wp:extent cx="334645" cy="3346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89D">
      <w:rPr>
        <w:rFonts w:ascii="Arial Narrow" w:hAnsi="Arial Narrow" w:cs="Tahoma"/>
        <w:b/>
        <w:color w:val="3366FF"/>
        <w:sz w:val="20"/>
        <w:szCs w:val="20"/>
      </w:rPr>
      <w:t>Education International</w:t>
    </w:r>
    <w:r w:rsidRPr="00E5489D">
      <w:rPr>
        <w:rFonts w:ascii="Tahoma" w:hAnsi="Tahoma" w:cs="Tahoma"/>
        <w:b/>
        <w:color w:val="808080"/>
        <w:sz w:val="20"/>
        <w:szCs w:val="20"/>
      </w:rPr>
      <w:t xml:space="preserve"> </w:t>
    </w:r>
    <w:r w:rsidRPr="00434F07">
      <w:rPr>
        <w:rFonts w:ascii="Tahoma" w:hAnsi="Tahoma" w:cs="Tahoma"/>
        <w:b/>
        <w:color w:val="808080"/>
      </w:rPr>
      <w:t xml:space="preserve">                                                            </w:t>
    </w:r>
    <w:r>
      <w:rPr>
        <w:sz w:val="14"/>
        <w:szCs w:val="14"/>
      </w:rPr>
      <w:t xml:space="preserve">                                 </w:t>
    </w:r>
    <w:r w:rsidRPr="00892E37">
      <w:rPr>
        <w:sz w:val="14"/>
        <w:szCs w:val="14"/>
      </w:rPr>
      <w:t xml:space="preserve">               </w:t>
    </w:r>
    <w:r w:rsidRPr="001F61AD">
      <w:rPr>
        <w:sz w:val="14"/>
        <w:szCs w:val="14"/>
      </w:rPr>
      <w:t>index</w:t>
    </w:r>
    <w:r>
      <w:rPr>
        <w:sz w:val="14"/>
        <w:szCs w:val="14"/>
      </w:rPr>
      <w:t xml:space="preserve"> </w:t>
    </w:r>
    <w:r w:rsidRPr="00B16149">
      <w:rPr>
        <w:rFonts w:ascii="Arial Narrow" w:hAnsi="Arial Narrow" w:cs="Tahoma"/>
        <w:b/>
        <w:color w:val="808080"/>
      </w:rPr>
      <w:t>EB</w:t>
    </w:r>
    <w:r>
      <w:rPr>
        <w:rFonts w:ascii="Arial Narrow" w:hAnsi="Arial Narrow" w:cs="Tahoma"/>
        <w:b/>
        <w:color w:val="3366FF"/>
        <w:sz w:val="26"/>
        <w:szCs w:val="26"/>
      </w:rPr>
      <w:t>47</w:t>
    </w:r>
    <w:r w:rsidRPr="00B16149">
      <w:rPr>
        <w:rFonts w:ascii="Arial Narrow" w:hAnsi="Arial Narrow" w:cs="Tahoma"/>
        <w:b/>
        <w:color w:val="3366FF"/>
        <w:sz w:val="26"/>
        <w:szCs w:val="26"/>
      </w:rPr>
      <w:t>-0</w:t>
    </w:r>
    <w:r>
      <w:rPr>
        <w:rFonts w:ascii="Arial Narrow" w:hAnsi="Arial Narrow" w:cs="Tahoma"/>
        <w:b/>
        <w:color w:val="3366FF"/>
        <w:sz w:val="26"/>
        <w:szCs w:val="26"/>
      </w:rPr>
      <w:t>7.7</w:t>
    </w:r>
  </w:p>
  <w:p w14:paraId="17BF456F" w14:textId="77777777" w:rsidR="00227FC1" w:rsidRDefault="0022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9D"/>
    <w:multiLevelType w:val="hybridMultilevel"/>
    <w:tmpl w:val="10E4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2CE5"/>
    <w:multiLevelType w:val="hybridMultilevel"/>
    <w:tmpl w:val="2152CC2C"/>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C086E"/>
    <w:multiLevelType w:val="multilevel"/>
    <w:tmpl w:val="35E873D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3" w15:restartNumberingAfterBreak="0">
    <w:nsid w:val="0D436C70"/>
    <w:multiLevelType w:val="hybridMultilevel"/>
    <w:tmpl w:val="FB84A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0B79B2"/>
    <w:multiLevelType w:val="hybridMultilevel"/>
    <w:tmpl w:val="BCCEB6A0"/>
    <w:lvl w:ilvl="0" w:tplc="C756C9A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F7F83"/>
    <w:multiLevelType w:val="hybridMultilevel"/>
    <w:tmpl w:val="D59AF806"/>
    <w:lvl w:ilvl="0" w:tplc="F7869828">
      <w:start w:val="14"/>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6" w15:restartNumberingAfterBreak="0">
    <w:nsid w:val="15CC6E63"/>
    <w:multiLevelType w:val="singleLevel"/>
    <w:tmpl w:val="2BD2A6E2"/>
    <w:lvl w:ilvl="0">
      <w:start w:val="1"/>
      <w:numFmt w:val="decimal"/>
      <w:lvlText w:val="%1."/>
      <w:lvlJc w:val="left"/>
      <w:pPr>
        <w:tabs>
          <w:tab w:val="num" w:pos="570"/>
        </w:tabs>
        <w:ind w:left="570" w:hanging="570"/>
      </w:pPr>
      <w:rPr>
        <w:rFonts w:hint="default"/>
        <w:i w:val="0"/>
      </w:rPr>
    </w:lvl>
  </w:abstractNum>
  <w:abstractNum w:abstractNumId="7" w15:restartNumberingAfterBreak="0">
    <w:nsid w:val="20504D4A"/>
    <w:multiLevelType w:val="multilevel"/>
    <w:tmpl w:val="0764F492"/>
    <w:lvl w:ilvl="0">
      <w:start w:val="6"/>
      <w:numFmt w:val="bullet"/>
      <w:lvlText w:val="-"/>
      <w:lvlJc w:val="left"/>
      <w:pPr>
        <w:tabs>
          <w:tab w:val="num" w:pos="1242"/>
        </w:tabs>
        <w:ind w:left="1242" w:hanging="360"/>
      </w:pPr>
      <w:rPr>
        <w:rFonts w:ascii="Arial" w:eastAsia="Times New Roman" w:hAnsi="Arial" w:cs="Arial" w:hint="default"/>
      </w:rPr>
    </w:lvl>
    <w:lvl w:ilvl="1" w:tentative="1">
      <w:start w:val="1"/>
      <w:numFmt w:val="bullet"/>
      <w:lvlText w:val="o"/>
      <w:lvlJc w:val="left"/>
      <w:pPr>
        <w:tabs>
          <w:tab w:val="num" w:pos="1962"/>
        </w:tabs>
        <w:ind w:left="1962" w:hanging="360"/>
      </w:pPr>
      <w:rPr>
        <w:rFonts w:ascii="Courier New" w:hAnsi="Courier New" w:cs="Arial Narro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cs="Arial Narro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cs="Arial Narro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8" w15:restartNumberingAfterBreak="0">
    <w:nsid w:val="21B855ED"/>
    <w:multiLevelType w:val="singleLevel"/>
    <w:tmpl w:val="34203304"/>
    <w:lvl w:ilvl="0">
      <w:start w:val="8"/>
      <w:numFmt w:val="decimal"/>
      <w:lvlText w:val="%1."/>
      <w:lvlJc w:val="left"/>
      <w:pPr>
        <w:tabs>
          <w:tab w:val="num" w:pos="421"/>
        </w:tabs>
        <w:ind w:left="421" w:hanging="705"/>
      </w:pPr>
      <w:rPr>
        <w:rFonts w:hint="default"/>
      </w:rPr>
    </w:lvl>
  </w:abstractNum>
  <w:abstractNum w:abstractNumId="9" w15:restartNumberingAfterBreak="0">
    <w:nsid w:val="251B4694"/>
    <w:multiLevelType w:val="multilevel"/>
    <w:tmpl w:val="A8DA5C7E"/>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436"/>
        </w:tabs>
        <w:ind w:left="436" w:hanging="720"/>
      </w:pPr>
      <w:rPr>
        <w:rFonts w:hint="default"/>
        <w:u w:val="none"/>
      </w:rPr>
    </w:lvl>
    <w:lvl w:ilvl="2">
      <w:start w:val="1"/>
      <w:numFmt w:val="decimal"/>
      <w:lvlText w:val="%1.%2.%3."/>
      <w:lvlJc w:val="left"/>
      <w:pPr>
        <w:tabs>
          <w:tab w:val="num" w:pos="152"/>
        </w:tabs>
        <w:ind w:left="152" w:hanging="720"/>
      </w:pPr>
      <w:rPr>
        <w:rFonts w:hint="default"/>
        <w:u w:val="none"/>
      </w:rPr>
    </w:lvl>
    <w:lvl w:ilvl="3">
      <w:start w:val="1"/>
      <w:numFmt w:val="decimal"/>
      <w:lvlText w:val="%1.%2.%3.%4."/>
      <w:lvlJc w:val="left"/>
      <w:pPr>
        <w:tabs>
          <w:tab w:val="num" w:pos="-132"/>
        </w:tabs>
        <w:ind w:left="-132" w:hanging="720"/>
      </w:pPr>
      <w:rPr>
        <w:rFonts w:hint="default"/>
        <w:u w:val="none"/>
      </w:rPr>
    </w:lvl>
    <w:lvl w:ilvl="4">
      <w:start w:val="1"/>
      <w:numFmt w:val="decimal"/>
      <w:lvlText w:val="%1.%2.%3.%4.%5."/>
      <w:lvlJc w:val="left"/>
      <w:pPr>
        <w:tabs>
          <w:tab w:val="num" w:pos="-56"/>
        </w:tabs>
        <w:ind w:left="-56" w:hanging="1080"/>
      </w:pPr>
      <w:rPr>
        <w:rFonts w:hint="default"/>
        <w:u w:val="none"/>
      </w:rPr>
    </w:lvl>
    <w:lvl w:ilvl="5">
      <w:start w:val="1"/>
      <w:numFmt w:val="decimal"/>
      <w:lvlText w:val="%1.%2.%3.%4.%5.%6."/>
      <w:lvlJc w:val="left"/>
      <w:pPr>
        <w:tabs>
          <w:tab w:val="num" w:pos="-340"/>
        </w:tabs>
        <w:ind w:left="-340" w:hanging="1080"/>
      </w:pPr>
      <w:rPr>
        <w:rFonts w:hint="default"/>
        <w:u w:val="none"/>
      </w:rPr>
    </w:lvl>
    <w:lvl w:ilvl="6">
      <w:start w:val="1"/>
      <w:numFmt w:val="decimal"/>
      <w:lvlText w:val="%1.%2.%3.%4.%5.%6.%7."/>
      <w:lvlJc w:val="left"/>
      <w:pPr>
        <w:tabs>
          <w:tab w:val="num" w:pos="-264"/>
        </w:tabs>
        <w:ind w:left="-264" w:hanging="1440"/>
      </w:pPr>
      <w:rPr>
        <w:rFonts w:hint="default"/>
        <w:u w:val="none"/>
      </w:rPr>
    </w:lvl>
    <w:lvl w:ilvl="7">
      <w:start w:val="1"/>
      <w:numFmt w:val="decimal"/>
      <w:lvlText w:val="%1.%2.%3.%4.%5.%6.%7.%8."/>
      <w:lvlJc w:val="left"/>
      <w:pPr>
        <w:tabs>
          <w:tab w:val="num" w:pos="-548"/>
        </w:tabs>
        <w:ind w:left="-548" w:hanging="1440"/>
      </w:pPr>
      <w:rPr>
        <w:rFonts w:hint="default"/>
        <w:u w:val="none"/>
      </w:rPr>
    </w:lvl>
    <w:lvl w:ilvl="8">
      <w:start w:val="1"/>
      <w:numFmt w:val="decimal"/>
      <w:lvlText w:val="%1.%2.%3.%4.%5.%6.%7.%8.%9."/>
      <w:lvlJc w:val="left"/>
      <w:pPr>
        <w:tabs>
          <w:tab w:val="num" w:pos="-472"/>
        </w:tabs>
        <w:ind w:left="-472" w:hanging="1800"/>
      </w:pPr>
      <w:rPr>
        <w:rFonts w:hint="default"/>
        <w:u w:val="none"/>
      </w:rPr>
    </w:lvl>
  </w:abstractNum>
  <w:abstractNum w:abstractNumId="10" w15:restartNumberingAfterBreak="0">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163A1"/>
    <w:multiLevelType w:val="singleLevel"/>
    <w:tmpl w:val="E604C53E"/>
    <w:lvl w:ilvl="0">
      <w:start w:val="12"/>
      <w:numFmt w:val="decimal"/>
      <w:lvlText w:val="%1."/>
      <w:lvlJc w:val="left"/>
      <w:pPr>
        <w:tabs>
          <w:tab w:val="num" w:pos="421"/>
        </w:tabs>
        <w:ind w:left="421" w:hanging="705"/>
      </w:pPr>
      <w:rPr>
        <w:rFonts w:hint="default"/>
      </w:rPr>
    </w:lvl>
  </w:abstractNum>
  <w:abstractNum w:abstractNumId="12" w15:restartNumberingAfterBreak="0">
    <w:nsid w:val="32384165"/>
    <w:multiLevelType w:val="multilevel"/>
    <w:tmpl w:val="2D44F0B2"/>
    <w:lvl w:ilvl="0">
      <w:start w:val="3"/>
      <w:numFmt w:val="decimal"/>
      <w:lvlText w:val="%1."/>
      <w:lvlJc w:val="left"/>
      <w:pPr>
        <w:tabs>
          <w:tab w:val="num" w:pos="-423"/>
        </w:tabs>
        <w:ind w:left="-423" w:hanging="570"/>
      </w:pPr>
      <w:rPr>
        <w:rFonts w:hint="default"/>
        <w:i w:val="0"/>
      </w:rPr>
    </w:lvl>
    <w:lvl w:ilvl="1">
      <w:start w:val="1"/>
      <w:numFmt w:val="decimal"/>
      <w:isLgl/>
      <w:lvlText w:val="%1.%2."/>
      <w:lvlJc w:val="left"/>
      <w:pPr>
        <w:tabs>
          <w:tab w:val="num" w:pos="1287"/>
        </w:tabs>
        <w:ind w:left="1287" w:hanging="720"/>
      </w:pPr>
      <w:rPr>
        <w:rFonts w:hint="default"/>
        <w:i w:val="0"/>
      </w:rPr>
    </w:lvl>
    <w:lvl w:ilvl="2">
      <w:start w:val="1"/>
      <w:numFmt w:val="decimal"/>
      <w:isLgl/>
      <w:lvlText w:val="%1.%2.%3."/>
      <w:lvlJc w:val="left"/>
      <w:pPr>
        <w:tabs>
          <w:tab w:val="num" w:pos="2847"/>
        </w:tabs>
        <w:ind w:left="2847" w:hanging="720"/>
      </w:pPr>
      <w:rPr>
        <w:rFonts w:hint="default"/>
        <w:i w:val="0"/>
      </w:rPr>
    </w:lvl>
    <w:lvl w:ilvl="3">
      <w:start w:val="1"/>
      <w:numFmt w:val="decimal"/>
      <w:isLgl/>
      <w:lvlText w:val="%1.%2.%3.%4."/>
      <w:lvlJc w:val="left"/>
      <w:pPr>
        <w:tabs>
          <w:tab w:val="num" w:pos="4767"/>
        </w:tabs>
        <w:ind w:left="4767" w:hanging="1080"/>
      </w:pPr>
      <w:rPr>
        <w:rFonts w:hint="default"/>
        <w:i w:val="0"/>
      </w:rPr>
    </w:lvl>
    <w:lvl w:ilvl="4">
      <w:start w:val="1"/>
      <w:numFmt w:val="decimal"/>
      <w:isLgl/>
      <w:lvlText w:val="%1.%2.%3.%4.%5."/>
      <w:lvlJc w:val="left"/>
      <w:pPr>
        <w:tabs>
          <w:tab w:val="num" w:pos="6327"/>
        </w:tabs>
        <w:ind w:left="6327" w:hanging="1080"/>
      </w:pPr>
      <w:rPr>
        <w:rFonts w:hint="default"/>
        <w:i w:val="0"/>
      </w:rPr>
    </w:lvl>
    <w:lvl w:ilvl="5">
      <w:start w:val="1"/>
      <w:numFmt w:val="decimal"/>
      <w:isLgl/>
      <w:lvlText w:val="%1.%2.%3.%4.%5.%6."/>
      <w:lvlJc w:val="left"/>
      <w:pPr>
        <w:tabs>
          <w:tab w:val="num" w:pos="8247"/>
        </w:tabs>
        <w:ind w:left="8247" w:hanging="1440"/>
      </w:pPr>
      <w:rPr>
        <w:rFonts w:hint="default"/>
        <w:i w:val="0"/>
      </w:rPr>
    </w:lvl>
    <w:lvl w:ilvl="6">
      <w:start w:val="1"/>
      <w:numFmt w:val="decimal"/>
      <w:isLgl/>
      <w:lvlText w:val="%1.%2.%3.%4.%5.%6.%7."/>
      <w:lvlJc w:val="left"/>
      <w:pPr>
        <w:tabs>
          <w:tab w:val="num" w:pos="9807"/>
        </w:tabs>
        <w:ind w:left="9807" w:hanging="1440"/>
      </w:pPr>
      <w:rPr>
        <w:rFonts w:hint="default"/>
        <w:i w:val="0"/>
      </w:rPr>
    </w:lvl>
    <w:lvl w:ilvl="7">
      <w:start w:val="1"/>
      <w:numFmt w:val="decimal"/>
      <w:isLgl/>
      <w:lvlText w:val="%1.%2.%3.%4.%5.%6.%7.%8."/>
      <w:lvlJc w:val="left"/>
      <w:pPr>
        <w:tabs>
          <w:tab w:val="num" w:pos="11727"/>
        </w:tabs>
        <w:ind w:left="11727" w:hanging="1800"/>
      </w:pPr>
      <w:rPr>
        <w:rFonts w:hint="default"/>
        <w:i w:val="0"/>
      </w:rPr>
    </w:lvl>
    <w:lvl w:ilvl="8">
      <w:start w:val="1"/>
      <w:numFmt w:val="decimal"/>
      <w:isLgl/>
      <w:lvlText w:val="%1.%2.%3.%4.%5.%6.%7.%8.%9."/>
      <w:lvlJc w:val="left"/>
      <w:pPr>
        <w:tabs>
          <w:tab w:val="num" w:pos="13287"/>
        </w:tabs>
        <w:ind w:left="13287" w:hanging="1800"/>
      </w:pPr>
      <w:rPr>
        <w:rFonts w:hint="default"/>
        <w:i w:val="0"/>
      </w:rPr>
    </w:lvl>
  </w:abstractNum>
  <w:abstractNum w:abstractNumId="13" w15:restartNumberingAfterBreak="0">
    <w:nsid w:val="33F31D91"/>
    <w:multiLevelType w:val="hybridMultilevel"/>
    <w:tmpl w:val="712AD3CA"/>
    <w:lvl w:ilvl="0" w:tplc="61149E54">
      <w:numFmt w:val="bullet"/>
      <w:lvlText w:val="-"/>
      <w:lvlJc w:val="left"/>
      <w:pPr>
        <w:ind w:left="360" w:hanging="360"/>
      </w:pPr>
      <w:rPr>
        <w:rFonts w:ascii="Calibri" w:eastAsia="Times New Roman" w:hAnsi="Calibri"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F5068"/>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3E866918"/>
    <w:multiLevelType w:val="multilevel"/>
    <w:tmpl w:val="F1A839DA"/>
    <w:lvl w:ilvl="0">
      <w:start w:val="2"/>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D664A"/>
    <w:multiLevelType w:val="hybridMultilevel"/>
    <w:tmpl w:val="893076BE"/>
    <w:lvl w:ilvl="0" w:tplc="E6D63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05E49"/>
    <w:multiLevelType w:val="multilevel"/>
    <w:tmpl w:val="C2A6FE04"/>
    <w:lvl w:ilvl="0">
      <w:start w:val="2"/>
      <w:numFmt w:val="decimal"/>
      <w:lvlText w:val="%1."/>
      <w:lvlJc w:val="left"/>
      <w:pPr>
        <w:tabs>
          <w:tab w:val="num" w:pos="720"/>
        </w:tabs>
        <w:ind w:left="720" w:hanging="720"/>
      </w:pPr>
      <w:rPr>
        <w:rFonts w:hint="default"/>
        <w:u w:val="none"/>
      </w:rPr>
    </w:lvl>
    <w:lvl w:ilvl="1">
      <w:start w:val="5"/>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18" w15:restartNumberingAfterBreak="0">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079D6"/>
    <w:multiLevelType w:val="multilevel"/>
    <w:tmpl w:val="D640ED98"/>
    <w:lvl w:ilvl="0">
      <w:start w:val="2"/>
      <w:numFmt w:val="decimal"/>
      <w:lvlText w:val="%1."/>
      <w:lvlJc w:val="left"/>
      <w:pPr>
        <w:tabs>
          <w:tab w:val="num" w:pos="720"/>
        </w:tabs>
        <w:ind w:left="720" w:hanging="720"/>
      </w:pPr>
      <w:rPr>
        <w:rFonts w:hint="default"/>
        <w:u w:val="none"/>
      </w:rPr>
    </w:lvl>
    <w:lvl w:ilvl="1">
      <w:start w:val="11"/>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20" w15:restartNumberingAfterBreak="0">
    <w:nsid w:val="4BC46FDC"/>
    <w:multiLevelType w:val="hybridMultilevel"/>
    <w:tmpl w:val="2BB6287E"/>
    <w:lvl w:ilvl="0" w:tplc="B0A07C82">
      <w:start w:val="7"/>
      <w:numFmt w:val="decimal"/>
      <w:lvlText w:val="%1."/>
      <w:lvlJc w:val="left"/>
      <w:pPr>
        <w:tabs>
          <w:tab w:val="num" w:pos="421"/>
        </w:tabs>
        <w:ind w:left="421" w:hanging="705"/>
      </w:pPr>
      <w:rPr>
        <w:rFonts w:hint="default"/>
        <w:u w:val="non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1" w15:restartNumberingAfterBreak="0">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22" w15:restartNumberingAfterBreak="0">
    <w:nsid w:val="4D50383F"/>
    <w:multiLevelType w:val="hybridMultilevel"/>
    <w:tmpl w:val="EA426470"/>
    <w:lvl w:ilvl="0" w:tplc="F92A6EB4">
      <w:start w:val="1"/>
      <w:numFmt w:val="decimal"/>
      <w:lvlText w:val="%1."/>
      <w:lvlJc w:val="left"/>
      <w:pPr>
        <w:tabs>
          <w:tab w:val="num" w:pos="-208"/>
        </w:tabs>
        <w:ind w:left="-208" w:hanging="360"/>
      </w:pPr>
      <w:rPr>
        <w:rFonts w:hint="default"/>
        <w:u w:val="single"/>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3" w15:restartNumberingAfterBreak="0">
    <w:nsid w:val="4E1E25FE"/>
    <w:multiLevelType w:val="hybridMultilevel"/>
    <w:tmpl w:val="8F183554"/>
    <w:lvl w:ilvl="0" w:tplc="F92A6EB4">
      <w:start w:val="1"/>
      <w:numFmt w:val="decimal"/>
      <w:lvlText w:val="%1."/>
      <w:lvlJc w:val="left"/>
      <w:pPr>
        <w:tabs>
          <w:tab w:val="num" w:pos="76"/>
        </w:tabs>
        <w:ind w:left="76" w:hanging="360"/>
      </w:pPr>
      <w:rPr>
        <w:rFonts w:hint="default"/>
        <w:u w:val="singl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4" w15:restartNumberingAfterBreak="0">
    <w:nsid w:val="54B90CCD"/>
    <w:multiLevelType w:val="hybridMultilevel"/>
    <w:tmpl w:val="945E6968"/>
    <w:lvl w:ilvl="0" w:tplc="86920EF0">
      <w:start w:val="1"/>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5" w15:restartNumberingAfterBreak="0">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B3EA7"/>
    <w:multiLevelType w:val="hybridMultilevel"/>
    <w:tmpl w:val="2146DF08"/>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7" w15:restartNumberingAfterBreak="0">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42A08"/>
    <w:multiLevelType w:val="singleLevel"/>
    <w:tmpl w:val="4E548258"/>
    <w:lvl w:ilvl="0">
      <w:numFmt w:val="bullet"/>
      <w:lvlText w:val="-"/>
      <w:lvlJc w:val="left"/>
      <w:pPr>
        <w:tabs>
          <w:tab w:val="num" w:pos="360"/>
        </w:tabs>
        <w:ind w:left="360" w:hanging="360"/>
      </w:pPr>
      <w:rPr>
        <w:rFonts w:hint="default"/>
      </w:rPr>
    </w:lvl>
  </w:abstractNum>
  <w:abstractNum w:abstractNumId="30" w15:restartNumberingAfterBreak="0">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74B4F"/>
    <w:multiLevelType w:val="hybridMultilevel"/>
    <w:tmpl w:val="E8B28176"/>
    <w:lvl w:ilvl="0" w:tplc="0FDCB2F4">
      <w:start w:val="8"/>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2" w15:restartNumberingAfterBreak="0">
    <w:nsid w:val="73C06ACD"/>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7C743F9E"/>
    <w:multiLevelType w:val="multilevel"/>
    <w:tmpl w:val="8D488D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34" w15:restartNumberingAfterBreak="0">
    <w:nsid w:val="7F5D744B"/>
    <w:multiLevelType w:val="hybridMultilevel"/>
    <w:tmpl w:val="8F5C4DBC"/>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32"/>
  </w:num>
  <w:num w:numId="4">
    <w:abstractNumId w:val="21"/>
  </w:num>
  <w:num w:numId="5">
    <w:abstractNumId w:val="6"/>
  </w:num>
  <w:num w:numId="6">
    <w:abstractNumId w:val="12"/>
  </w:num>
  <w:num w:numId="7">
    <w:abstractNumId w:val="7"/>
  </w:num>
  <w:num w:numId="8">
    <w:abstractNumId w:val="8"/>
  </w:num>
  <w:num w:numId="9">
    <w:abstractNumId w:val="11"/>
  </w:num>
  <w:num w:numId="10">
    <w:abstractNumId w:val="33"/>
  </w:num>
  <w:num w:numId="11">
    <w:abstractNumId w:val="15"/>
  </w:num>
  <w:num w:numId="12">
    <w:abstractNumId w:val="30"/>
  </w:num>
  <w:num w:numId="13">
    <w:abstractNumId w:val="26"/>
  </w:num>
  <w:num w:numId="14">
    <w:abstractNumId w:val="31"/>
  </w:num>
  <w:num w:numId="15">
    <w:abstractNumId w:val="5"/>
  </w:num>
  <w:num w:numId="16">
    <w:abstractNumId w:val="20"/>
  </w:num>
  <w:num w:numId="17">
    <w:abstractNumId w:val="34"/>
  </w:num>
  <w:num w:numId="18">
    <w:abstractNumId w:val="23"/>
  </w:num>
  <w:num w:numId="19">
    <w:abstractNumId w:val="22"/>
  </w:num>
  <w:num w:numId="20">
    <w:abstractNumId w:val="24"/>
  </w:num>
  <w:num w:numId="21">
    <w:abstractNumId w:val="28"/>
  </w:num>
  <w:num w:numId="22">
    <w:abstractNumId w:val="4"/>
  </w:num>
  <w:num w:numId="23">
    <w:abstractNumId w:val="9"/>
  </w:num>
  <w:num w:numId="24">
    <w:abstractNumId w:val="27"/>
  </w:num>
  <w:num w:numId="25">
    <w:abstractNumId w:val="2"/>
  </w:num>
  <w:num w:numId="26">
    <w:abstractNumId w:val="17"/>
  </w:num>
  <w:num w:numId="27">
    <w:abstractNumId w:val="19"/>
  </w:num>
  <w:num w:numId="28">
    <w:abstractNumId w:val="25"/>
  </w:num>
  <w:num w:numId="29">
    <w:abstractNumId w:val="10"/>
  </w:num>
  <w:num w:numId="30">
    <w:abstractNumId w:val="18"/>
  </w:num>
  <w:num w:numId="31">
    <w:abstractNumId w:val="0"/>
  </w:num>
  <w:num w:numId="32">
    <w:abstractNumId w:val="16"/>
  </w:num>
  <w:num w:numId="33">
    <w:abstractNumId w:val="1"/>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D5"/>
    <w:rsid w:val="00005D53"/>
    <w:rsid w:val="000220C9"/>
    <w:rsid w:val="000236C0"/>
    <w:rsid w:val="000269C8"/>
    <w:rsid w:val="00053B35"/>
    <w:rsid w:val="00060AA0"/>
    <w:rsid w:val="00070AA0"/>
    <w:rsid w:val="00072FF0"/>
    <w:rsid w:val="00083E71"/>
    <w:rsid w:val="000B07A4"/>
    <w:rsid w:val="000F7AC1"/>
    <w:rsid w:val="00101DAF"/>
    <w:rsid w:val="00111DB6"/>
    <w:rsid w:val="00114B4F"/>
    <w:rsid w:val="00136BE9"/>
    <w:rsid w:val="00136DC7"/>
    <w:rsid w:val="001742D7"/>
    <w:rsid w:val="001805C0"/>
    <w:rsid w:val="00193EC9"/>
    <w:rsid w:val="00196265"/>
    <w:rsid w:val="001A1397"/>
    <w:rsid w:val="001B45EF"/>
    <w:rsid w:val="001C1FCE"/>
    <w:rsid w:val="001D6545"/>
    <w:rsid w:val="001E3896"/>
    <w:rsid w:val="001E4F77"/>
    <w:rsid w:val="001F744F"/>
    <w:rsid w:val="00203D3A"/>
    <w:rsid w:val="00213C84"/>
    <w:rsid w:val="00217E53"/>
    <w:rsid w:val="00227FC1"/>
    <w:rsid w:val="00234048"/>
    <w:rsid w:val="0024057E"/>
    <w:rsid w:val="00242CDF"/>
    <w:rsid w:val="002461B0"/>
    <w:rsid w:val="0025237E"/>
    <w:rsid w:val="002525B8"/>
    <w:rsid w:val="0025489D"/>
    <w:rsid w:val="00254D31"/>
    <w:rsid w:val="00257AA8"/>
    <w:rsid w:val="002747EA"/>
    <w:rsid w:val="00275B5C"/>
    <w:rsid w:val="00280839"/>
    <w:rsid w:val="00286AF1"/>
    <w:rsid w:val="002C244F"/>
    <w:rsid w:val="002C56EA"/>
    <w:rsid w:val="002D06A8"/>
    <w:rsid w:val="002D154B"/>
    <w:rsid w:val="002D2CA8"/>
    <w:rsid w:val="002E13CA"/>
    <w:rsid w:val="002E1B4A"/>
    <w:rsid w:val="002E2A91"/>
    <w:rsid w:val="002E51A3"/>
    <w:rsid w:val="00300CB4"/>
    <w:rsid w:val="00324AAE"/>
    <w:rsid w:val="0033387F"/>
    <w:rsid w:val="00337787"/>
    <w:rsid w:val="00337E39"/>
    <w:rsid w:val="00351C02"/>
    <w:rsid w:val="00363C21"/>
    <w:rsid w:val="003706A5"/>
    <w:rsid w:val="00372A68"/>
    <w:rsid w:val="00374154"/>
    <w:rsid w:val="00376BE4"/>
    <w:rsid w:val="00391C48"/>
    <w:rsid w:val="003A42DF"/>
    <w:rsid w:val="003A650F"/>
    <w:rsid w:val="003B4B3D"/>
    <w:rsid w:val="003E0C72"/>
    <w:rsid w:val="0040184C"/>
    <w:rsid w:val="00415D65"/>
    <w:rsid w:val="00417976"/>
    <w:rsid w:val="00441B89"/>
    <w:rsid w:val="00443AB2"/>
    <w:rsid w:val="0046778D"/>
    <w:rsid w:val="00474193"/>
    <w:rsid w:val="00484D4E"/>
    <w:rsid w:val="004869F0"/>
    <w:rsid w:val="00494197"/>
    <w:rsid w:val="00496CE4"/>
    <w:rsid w:val="00496D63"/>
    <w:rsid w:val="004C26CF"/>
    <w:rsid w:val="004C30E8"/>
    <w:rsid w:val="004C4059"/>
    <w:rsid w:val="004D37C5"/>
    <w:rsid w:val="004D4514"/>
    <w:rsid w:val="004D6E2D"/>
    <w:rsid w:val="004E6BFD"/>
    <w:rsid w:val="004F0711"/>
    <w:rsid w:val="004F202B"/>
    <w:rsid w:val="004F2A2E"/>
    <w:rsid w:val="00502684"/>
    <w:rsid w:val="00512E66"/>
    <w:rsid w:val="00515418"/>
    <w:rsid w:val="00517708"/>
    <w:rsid w:val="00521DD8"/>
    <w:rsid w:val="00525E20"/>
    <w:rsid w:val="005349BA"/>
    <w:rsid w:val="00562BBE"/>
    <w:rsid w:val="00570AC6"/>
    <w:rsid w:val="00577609"/>
    <w:rsid w:val="00596913"/>
    <w:rsid w:val="005B470F"/>
    <w:rsid w:val="005F2187"/>
    <w:rsid w:val="005F41D8"/>
    <w:rsid w:val="00614973"/>
    <w:rsid w:val="0061771C"/>
    <w:rsid w:val="0062498A"/>
    <w:rsid w:val="00635D83"/>
    <w:rsid w:val="0064739F"/>
    <w:rsid w:val="00654313"/>
    <w:rsid w:val="00695F6F"/>
    <w:rsid w:val="006A2696"/>
    <w:rsid w:val="006A711F"/>
    <w:rsid w:val="006C3537"/>
    <w:rsid w:val="006E0ADD"/>
    <w:rsid w:val="006F07DB"/>
    <w:rsid w:val="007126F5"/>
    <w:rsid w:val="00732D6D"/>
    <w:rsid w:val="007375E8"/>
    <w:rsid w:val="007445BB"/>
    <w:rsid w:val="00753986"/>
    <w:rsid w:val="007553D5"/>
    <w:rsid w:val="00786A27"/>
    <w:rsid w:val="00793FEE"/>
    <w:rsid w:val="007B35BE"/>
    <w:rsid w:val="007B5A7A"/>
    <w:rsid w:val="007C1B39"/>
    <w:rsid w:val="007C25C4"/>
    <w:rsid w:val="007C7179"/>
    <w:rsid w:val="007F588B"/>
    <w:rsid w:val="00806CA2"/>
    <w:rsid w:val="008369E0"/>
    <w:rsid w:val="008463A1"/>
    <w:rsid w:val="0086042B"/>
    <w:rsid w:val="008633C6"/>
    <w:rsid w:val="008771EB"/>
    <w:rsid w:val="0088251A"/>
    <w:rsid w:val="00891E98"/>
    <w:rsid w:val="00894463"/>
    <w:rsid w:val="00895801"/>
    <w:rsid w:val="008A5145"/>
    <w:rsid w:val="008E5F23"/>
    <w:rsid w:val="00912B11"/>
    <w:rsid w:val="00920A98"/>
    <w:rsid w:val="00926139"/>
    <w:rsid w:val="00932FC9"/>
    <w:rsid w:val="00936CD4"/>
    <w:rsid w:val="00941812"/>
    <w:rsid w:val="009607F4"/>
    <w:rsid w:val="009615DB"/>
    <w:rsid w:val="0098252A"/>
    <w:rsid w:val="00987410"/>
    <w:rsid w:val="009926AF"/>
    <w:rsid w:val="009A36BD"/>
    <w:rsid w:val="009B66DB"/>
    <w:rsid w:val="009C09AE"/>
    <w:rsid w:val="009C16B9"/>
    <w:rsid w:val="009D0F80"/>
    <w:rsid w:val="009D79BF"/>
    <w:rsid w:val="009E2D63"/>
    <w:rsid w:val="009F25A9"/>
    <w:rsid w:val="009F5373"/>
    <w:rsid w:val="00A11A3B"/>
    <w:rsid w:val="00A15486"/>
    <w:rsid w:val="00A336FB"/>
    <w:rsid w:val="00A3531B"/>
    <w:rsid w:val="00A36CC6"/>
    <w:rsid w:val="00A60F51"/>
    <w:rsid w:val="00A622A8"/>
    <w:rsid w:val="00A87AC3"/>
    <w:rsid w:val="00A95BFA"/>
    <w:rsid w:val="00AB3C75"/>
    <w:rsid w:val="00AD65E3"/>
    <w:rsid w:val="00AE2084"/>
    <w:rsid w:val="00AE72E7"/>
    <w:rsid w:val="00AF2883"/>
    <w:rsid w:val="00AF6775"/>
    <w:rsid w:val="00B006E0"/>
    <w:rsid w:val="00B21BFC"/>
    <w:rsid w:val="00B3358E"/>
    <w:rsid w:val="00B351C1"/>
    <w:rsid w:val="00B43BBD"/>
    <w:rsid w:val="00B61194"/>
    <w:rsid w:val="00BA7D4C"/>
    <w:rsid w:val="00BC299A"/>
    <w:rsid w:val="00BD5979"/>
    <w:rsid w:val="00BD5C10"/>
    <w:rsid w:val="00BD60EF"/>
    <w:rsid w:val="00BE11EB"/>
    <w:rsid w:val="00BF2F03"/>
    <w:rsid w:val="00C0276A"/>
    <w:rsid w:val="00C067B1"/>
    <w:rsid w:val="00C27A7F"/>
    <w:rsid w:val="00C325A5"/>
    <w:rsid w:val="00C344CD"/>
    <w:rsid w:val="00C5241D"/>
    <w:rsid w:val="00C540E8"/>
    <w:rsid w:val="00C60202"/>
    <w:rsid w:val="00C64E16"/>
    <w:rsid w:val="00C737DA"/>
    <w:rsid w:val="00C801AC"/>
    <w:rsid w:val="00C81582"/>
    <w:rsid w:val="00C969FB"/>
    <w:rsid w:val="00CB786F"/>
    <w:rsid w:val="00CF0AFF"/>
    <w:rsid w:val="00CF1430"/>
    <w:rsid w:val="00CF6412"/>
    <w:rsid w:val="00D03DA6"/>
    <w:rsid w:val="00D163D7"/>
    <w:rsid w:val="00D31F56"/>
    <w:rsid w:val="00D572DE"/>
    <w:rsid w:val="00D61F3B"/>
    <w:rsid w:val="00D90381"/>
    <w:rsid w:val="00D9526F"/>
    <w:rsid w:val="00DA4CFA"/>
    <w:rsid w:val="00DB63D9"/>
    <w:rsid w:val="00DC0246"/>
    <w:rsid w:val="00DD6F3B"/>
    <w:rsid w:val="00DE07DE"/>
    <w:rsid w:val="00DF69C7"/>
    <w:rsid w:val="00E12CF8"/>
    <w:rsid w:val="00E14CC6"/>
    <w:rsid w:val="00E27FFB"/>
    <w:rsid w:val="00E3161E"/>
    <w:rsid w:val="00E44C32"/>
    <w:rsid w:val="00E6369C"/>
    <w:rsid w:val="00E73D9E"/>
    <w:rsid w:val="00E8107B"/>
    <w:rsid w:val="00E84CA5"/>
    <w:rsid w:val="00E85F57"/>
    <w:rsid w:val="00E95004"/>
    <w:rsid w:val="00EA4054"/>
    <w:rsid w:val="00EA7DBC"/>
    <w:rsid w:val="00EB1279"/>
    <w:rsid w:val="00EB1CE7"/>
    <w:rsid w:val="00EB7FC2"/>
    <w:rsid w:val="00EC4C41"/>
    <w:rsid w:val="00EE0376"/>
    <w:rsid w:val="00EF0CEC"/>
    <w:rsid w:val="00F20FD6"/>
    <w:rsid w:val="00F226AD"/>
    <w:rsid w:val="00F4196E"/>
    <w:rsid w:val="00F535F0"/>
    <w:rsid w:val="00F579A4"/>
    <w:rsid w:val="00F61FEE"/>
    <w:rsid w:val="00F62969"/>
    <w:rsid w:val="00F72830"/>
    <w:rsid w:val="00F768DE"/>
    <w:rsid w:val="00F76F7B"/>
    <w:rsid w:val="00F9170A"/>
    <w:rsid w:val="00FA764C"/>
    <w:rsid w:val="00FC12F9"/>
    <w:rsid w:val="00FC166E"/>
    <w:rsid w:val="00FC27EA"/>
    <w:rsid w:val="00FC6B0D"/>
    <w:rsid w:val="00FD5024"/>
    <w:rsid w:val="00FD6C83"/>
    <w:rsid w:val="00FF61E8"/>
    <w:rsid w:val="00FF68C5"/>
    <w:rsid w:val="7FA80C2C"/>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aeaea"/>
    </o:shapedefaults>
    <o:shapelayout v:ext="edit">
      <o:idmap v:ext="edit" data="1"/>
    </o:shapelayout>
  </w:shapeDefaults>
  <w:decimalSymbol w:val="."/>
  <w:listSeparator w:val=","/>
  <w14:docId w14:val="081057A4"/>
  <w15:docId w15:val="{EF85EC1C-5ABC-4EA2-9FF4-0F9082F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3">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26AF"/>
    <w:rPr>
      <w:sz w:val="24"/>
      <w:szCs w:val="24"/>
      <w:lang w:val="en-US" w:eastAsia="en-US" w:bidi="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DD8"/>
    <w:pPr>
      <w:tabs>
        <w:tab w:val="center" w:pos="4320"/>
        <w:tab w:val="right" w:pos="8640"/>
      </w:tabs>
    </w:pPr>
  </w:style>
  <w:style w:type="paragraph" w:styleId="Footer">
    <w:name w:val="footer"/>
    <w:basedOn w:val="Normal"/>
    <w:link w:val="FooterChar"/>
    <w:uiPriority w:val="99"/>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rFonts w:ascii="Tahoma" w:hAnsi="Tahoma"/>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 w:type="character" w:styleId="FollowedHyperlink">
    <w:name w:val="FollowedHyperlink"/>
    <w:basedOn w:val="DefaultParagraphFont"/>
    <w:rsid w:val="00D03DA6"/>
    <w:rPr>
      <w:color w:val="800080" w:themeColor="followedHyperlink"/>
      <w:u w:val="single"/>
    </w:rPr>
  </w:style>
  <w:style w:type="character" w:customStyle="1" w:styleId="HeaderChar">
    <w:name w:val="Header Char"/>
    <w:basedOn w:val="DefaultParagraphFont"/>
    <w:link w:val="Header"/>
    <w:rsid w:val="00806CA2"/>
    <w:rPr>
      <w:sz w:val="24"/>
      <w:szCs w:val="24"/>
      <w:lang w:val="en-US" w:eastAsia="en-US" w:bidi="en-US"/>
    </w:rPr>
  </w:style>
  <w:style w:type="character" w:customStyle="1" w:styleId="FooterChar">
    <w:name w:val="Footer Char"/>
    <w:basedOn w:val="DefaultParagraphFont"/>
    <w:link w:val="Footer"/>
    <w:uiPriority w:val="99"/>
    <w:rsid w:val="005F41D8"/>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5039">
      <w:bodyDiv w:val="1"/>
      <w:marLeft w:val="0"/>
      <w:marRight w:val="0"/>
      <w:marTop w:val="0"/>
      <w:marBottom w:val="0"/>
      <w:divBdr>
        <w:top w:val="none" w:sz="0" w:space="0" w:color="auto"/>
        <w:left w:val="none" w:sz="0" w:space="0" w:color="auto"/>
        <w:bottom w:val="none" w:sz="0" w:space="0" w:color="auto"/>
        <w:right w:val="none" w:sz="0" w:space="0" w:color="auto"/>
      </w:divBdr>
    </w:div>
    <w:div w:id="644699903">
      <w:bodyDiv w:val="1"/>
      <w:marLeft w:val="0"/>
      <w:marRight w:val="0"/>
      <w:marTop w:val="0"/>
      <w:marBottom w:val="0"/>
      <w:divBdr>
        <w:top w:val="none" w:sz="0" w:space="0" w:color="auto"/>
        <w:left w:val="none" w:sz="0" w:space="0" w:color="auto"/>
        <w:bottom w:val="none" w:sz="0" w:space="0" w:color="auto"/>
        <w:right w:val="none" w:sz="0" w:space="0" w:color="auto"/>
      </w:divBdr>
      <w:divsChild>
        <w:div w:id="1235970266">
          <w:marLeft w:val="0"/>
          <w:marRight w:val="0"/>
          <w:marTop w:val="0"/>
          <w:marBottom w:val="0"/>
          <w:divBdr>
            <w:top w:val="none" w:sz="0" w:space="0" w:color="auto"/>
            <w:left w:val="none" w:sz="0" w:space="0" w:color="auto"/>
            <w:bottom w:val="none" w:sz="0" w:space="0" w:color="auto"/>
            <w:right w:val="none" w:sz="0" w:space="0" w:color="auto"/>
          </w:divBdr>
          <w:divsChild>
            <w:div w:id="848324991">
              <w:marLeft w:val="0"/>
              <w:marRight w:val="0"/>
              <w:marTop w:val="0"/>
              <w:marBottom w:val="0"/>
              <w:divBdr>
                <w:top w:val="none" w:sz="0" w:space="0" w:color="auto"/>
                <w:left w:val="none" w:sz="0" w:space="0" w:color="auto"/>
                <w:bottom w:val="none" w:sz="0" w:space="0" w:color="auto"/>
                <w:right w:val="none" w:sz="0" w:space="0" w:color="auto"/>
              </w:divBdr>
              <w:divsChild>
                <w:div w:id="902761511">
                  <w:marLeft w:val="0"/>
                  <w:marRight w:val="0"/>
                  <w:marTop w:val="0"/>
                  <w:marBottom w:val="0"/>
                  <w:divBdr>
                    <w:top w:val="none" w:sz="0" w:space="0" w:color="auto"/>
                    <w:left w:val="none" w:sz="0" w:space="0" w:color="auto"/>
                    <w:bottom w:val="none" w:sz="0" w:space="0" w:color="auto"/>
                    <w:right w:val="none" w:sz="0" w:space="0" w:color="auto"/>
                  </w:divBdr>
                  <w:divsChild>
                    <w:div w:id="349912850">
                      <w:marLeft w:val="0"/>
                      <w:marRight w:val="0"/>
                      <w:marTop w:val="0"/>
                      <w:marBottom w:val="0"/>
                      <w:divBdr>
                        <w:top w:val="none" w:sz="0" w:space="0" w:color="auto"/>
                        <w:left w:val="none" w:sz="0" w:space="0" w:color="auto"/>
                        <w:bottom w:val="none" w:sz="0" w:space="0" w:color="auto"/>
                        <w:right w:val="none" w:sz="0" w:space="0" w:color="auto"/>
                      </w:divBdr>
                      <w:divsChild>
                        <w:div w:id="529416767">
                          <w:marLeft w:val="0"/>
                          <w:marRight w:val="0"/>
                          <w:marTop w:val="0"/>
                          <w:marBottom w:val="0"/>
                          <w:divBdr>
                            <w:top w:val="none" w:sz="0" w:space="0" w:color="auto"/>
                            <w:left w:val="none" w:sz="0" w:space="0" w:color="auto"/>
                            <w:bottom w:val="none" w:sz="0" w:space="0" w:color="auto"/>
                            <w:right w:val="none" w:sz="0" w:space="0" w:color="auto"/>
                          </w:divBdr>
                          <w:divsChild>
                            <w:div w:id="2043360884">
                              <w:marLeft w:val="0"/>
                              <w:marRight w:val="0"/>
                              <w:marTop w:val="0"/>
                              <w:marBottom w:val="0"/>
                              <w:divBdr>
                                <w:top w:val="none" w:sz="0" w:space="0" w:color="auto"/>
                                <w:left w:val="none" w:sz="0" w:space="0" w:color="auto"/>
                                <w:bottom w:val="none" w:sz="0" w:space="0" w:color="auto"/>
                                <w:right w:val="none" w:sz="0" w:space="0" w:color="auto"/>
                              </w:divBdr>
                              <w:divsChild>
                                <w:div w:id="750394606">
                                  <w:marLeft w:val="0"/>
                                  <w:marRight w:val="0"/>
                                  <w:marTop w:val="0"/>
                                  <w:marBottom w:val="0"/>
                                  <w:divBdr>
                                    <w:top w:val="none" w:sz="0" w:space="0" w:color="auto"/>
                                    <w:left w:val="none" w:sz="0" w:space="0" w:color="auto"/>
                                    <w:bottom w:val="none" w:sz="0" w:space="0" w:color="auto"/>
                                    <w:right w:val="none" w:sz="0" w:space="0" w:color="auto"/>
                                  </w:divBdr>
                                  <w:divsChild>
                                    <w:div w:id="2019964252">
                                      <w:marLeft w:val="0"/>
                                      <w:marRight w:val="0"/>
                                      <w:marTop w:val="0"/>
                                      <w:marBottom w:val="0"/>
                                      <w:divBdr>
                                        <w:top w:val="none" w:sz="0" w:space="0" w:color="auto"/>
                                        <w:left w:val="none" w:sz="0" w:space="0" w:color="auto"/>
                                        <w:bottom w:val="none" w:sz="0" w:space="0" w:color="auto"/>
                                        <w:right w:val="none" w:sz="0" w:space="0" w:color="auto"/>
                                      </w:divBdr>
                                      <w:divsChild>
                                        <w:div w:id="1191071749">
                                          <w:marLeft w:val="0"/>
                                          <w:marRight w:val="0"/>
                                          <w:marTop w:val="0"/>
                                          <w:marBottom w:val="0"/>
                                          <w:divBdr>
                                            <w:top w:val="none" w:sz="0" w:space="0" w:color="auto"/>
                                            <w:left w:val="none" w:sz="0" w:space="0" w:color="auto"/>
                                            <w:bottom w:val="none" w:sz="0" w:space="0" w:color="auto"/>
                                            <w:right w:val="none" w:sz="0" w:space="0" w:color="auto"/>
                                          </w:divBdr>
                                          <w:divsChild>
                                            <w:div w:id="1144858755">
                                              <w:marLeft w:val="0"/>
                                              <w:marRight w:val="0"/>
                                              <w:marTop w:val="0"/>
                                              <w:marBottom w:val="0"/>
                                              <w:divBdr>
                                                <w:top w:val="none" w:sz="0" w:space="0" w:color="auto"/>
                                                <w:left w:val="none" w:sz="0" w:space="0" w:color="auto"/>
                                                <w:bottom w:val="none" w:sz="0" w:space="0" w:color="auto"/>
                                                <w:right w:val="none" w:sz="0" w:space="0" w:color="auto"/>
                                              </w:divBdr>
                                              <w:divsChild>
                                                <w:div w:id="1792088254">
                                                  <w:marLeft w:val="0"/>
                                                  <w:marRight w:val="0"/>
                                                  <w:marTop w:val="0"/>
                                                  <w:marBottom w:val="0"/>
                                                  <w:divBdr>
                                                    <w:top w:val="none" w:sz="0" w:space="0" w:color="auto"/>
                                                    <w:left w:val="none" w:sz="0" w:space="0" w:color="auto"/>
                                                    <w:bottom w:val="none" w:sz="0" w:space="0" w:color="auto"/>
                                                    <w:right w:val="none" w:sz="0" w:space="0" w:color="auto"/>
                                                  </w:divBdr>
                                                  <w:divsChild>
                                                    <w:div w:id="491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194479">
      <w:bodyDiv w:val="1"/>
      <w:marLeft w:val="0"/>
      <w:marRight w:val="0"/>
      <w:marTop w:val="0"/>
      <w:marBottom w:val="0"/>
      <w:divBdr>
        <w:top w:val="none" w:sz="0" w:space="0" w:color="auto"/>
        <w:left w:val="none" w:sz="0" w:space="0" w:color="auto"/>
        <w:bottom w:val="none" w:sz="0" w:space="0" w:color="auto"/>
        <w:right w:val="none" w:sz="0" w:space="0" w:color="auto"/>
      </w:divBdr>
    </w:div>
    <w:div w:id="1282419494">
      <w:bodyDiv w:val="1"/>
      <w:marLeft w:val="0"/>
      <w:marRight w:val="0"/>
      <w:marTop w:val="0"/>
      <w:marBottom w:val="0"/>
      <w:divBdr>
        <w:top w:val="none" w:sz="0" w:space="0" w:color="auto"/>
        <w:left w:val="none" w:sz="0" w:space="0" w:color="auto"/>
        <w:bottom w:val="none" w:sz="0" w:space="0" w:color="auto"/>
        <w:right w:val="none" w:sz="0" w:space="0" w:color="auto"/>
      </w:divBdr>
    </w:div>
    <w:div w:id="1574968437">
      <w:bodyDiv w:val="1"/>
      <w:marLeft w:val="0"/>
      <w:marRight w:val="0"/>
      <w:marTop w:val="0"/>
      <w:marBottom w:val="0"/>
      <w:divBdr>
        <w:top w:val="none" w:sz="0" w:space="0" w:color="auto"/>
        <w:left w:val="none" w:sz="0" w:space="0" w:color="auto"/>
        <w:bottom w:val="none" w:sz="0" w:space="0" w:color="auto"/>
        <w:right w:val="none" w:sz="0" w:space="0" w:color="auto"/>
      </w:divBdr>
    </w:div>
    <w:div w:id="1606882038">
      <w:bodyDiv w:val="1"/>
      <w:marLeft w:val="0"/>
      <w:marRight w:val="0"/>
      <w:marTop w:val="0"/>
      <w:marBottom w:val="0"/>
      <w:divBdr>
        <w:top w:val="none" w:sz="0" w:space="0" w:color="auto"/>
        <w:left w:val="none" w:sz="0" w:space="0" w:color="auto"/>
        <w:bottom w:val="none" w:sz="0" w:space="0" w:color="auto"/>
        <w:right w:val="none" w:sz="0" w:space="0" w:color="auto"/>
      </w:divBdr>
    </w:div>
    <w:div w:id="1628513771">
      <w:bodyDiv w:val="1"/>
      <w:marLeft w:val="0"/>
      <w:marRight w:val="0"/>
      <w:marTop w:val="0"/>
      <w:marBottom w:val="0"/>
      <w:divBdr>
        <w:top w:val="none" w:sz="0" w:space="0" w:color="auto"/>
        <w:left w:val="none" w:sz="0" w:space="0" w:color="auto"/>
        <w:bottom w:val="none" w:sz="0" w:space="0" w:color="auto"/>
        <w:right w:val="none" w:sz="0" w:space="0" w:color="auto"/>
      </w:divBdr>
    </w:div>
    <w:div w:id="1875270471">
      <w:bodyDiv w:val="1"/>
      <w:marLeft w:val="0"/>
      <w:marRight w:val="0"/>
      <w:marTop w:val="0"/>
      <w:marBottom w:val="0"/>
      <w:divBdr>
        <w:top w:val="none" w:sz="0" w:space="0" w:color="auto"/>
        <w:left w:val="none" w:sz="0" w:space="0" w:color="auto"/>
        <w:bottom w:val="none" w:sz="0" w:space="0" w:color="auto"/>
        <w:right w:val="none" w:sz="0" w:space="0" w:color="auto"/>
      </w:divBdr>
    </w:div>
    <w:div w:id="1991906811">
      <w:bodyDiv w:val="1"/>
      <w:marLeft w:val="0"/>
      <w:marRight w:val="0"/>
      <w:marTop w:val="0"/>
      <w:marBottom w:val="0"/>
      <w:divBdr>
        <w:top w:val="none" w:sz="0" w:space="0" w:color="auto"/>
        <w:left w:val="none" w:sz="0" w:space="0" w:color="auto"/>
        <w:bottom w:val="none" w:sz="0" w:space="0" w:color="auto"/>
        <w:right w:val="none" w:sz="0" w:space="0" w:color="auto"/>
      </w:divBdr>
    </w:div>
    <w:div w:id="20489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trade/policy/in-focus/ceta/" TargetMode="External"/><Relationship Id="rId18" Type="http://schemas.openxmlformats.org/officeDocument/2006/relationships/hyperlink" Target="http://www.europarl.europa.eu/sides/getDoc.do?pubRef=-//EP//NONSGML+TA+P8-TA-2016-0041+0+DOC+PDF+V0//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es-europe.eu/attachments/486_FES%20Study%20ISDS%20in%20TTIP%202014.pdf" TargetMode="External"/><Relationship Id="rId7" Type="http://schemas.openxmlformats.org/officeDocument/2006/relationships/styles" Target="styles.xml"/><Relationship Id="rId12" Type="http://schemas.openxmlformats.org/officeDocument/2006/relationships/hyperlink" Target="https://www.wto.org/english/thewto_e/minist_e/mc10_e/mindecision_e.htm" TargetMode="External"/><Relationship Id="rId17" Type="http://schemas.openxmlformats.org/officeDocument/2006/relationships/hyperlink" Target="http://data.consilium.europa.eu/doc/document/ST-6891-2013-ADD-1-DCL-1/en/pdf" TargetMode="External"/><Relationship Id="rId25" Type="http://schemas.openxmlformats.org/officeDocument/2006/relationships/hyperlink" Target="http://download.ei-ie.org/Docs/WebDepot/TTP_EI_Briefings_en.pdf" TargetMode="External"/><Relationship Id="rId2" Type="http://schemas.openxmlformats.org/officeDocument/2006/relationships/customXml" Target="../customXml/item2.xml"/><Relationship Id="rId16" Type="http://schemas.openxmlformats.org/officeDocument/2006/relationships/hyperlink" Target="http://trade.ec.europa.eu/doclib/docs/2016/july/tradoc_154824.pdf" TargetMode="External"/><Relationship Id="rId20" Type="http://schemas.openxmlformats.org/officeDocument/2006/relationships/hyperlink" Target="http://www.csee-etuce.org/documents/statements/405-statement-on-investment-protection-in-eu-investment-agreements-2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pp.mfat.govt.nz/text" TargetMode="External"/><Relationship Id="rId5" Type="http://schemas.openxmlformats.org/officeDocument/2006/relationships/customXml" Target="../customXml/item5.xml"/><Relationship Id="rId15" Type="http://schemas.openxmlformats.org/officeDocument/2006/relationships/hyperlink" Target="http://www.s2bnetwork.org/wp-content/uploads/2015/09/De-Ville-2016-CETA-report-bonne-version.pdf" TargetMode="External"/><Relationship Id="rId23" Type="http://schemas.openxmlformats.org/officeDocument/2006/relationships/hyperlink" Target="http://www.europarl.europa.eu/sides/getDoc.do?pubRef=-//EP//NONSGML+TA+P8-TA-2015-0252+0+DOC+PDF+V0//EN"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trade.ec.europa.eu/doclib/docs/2015/january/tradoc_153044.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arl.europa.eu/sides/getDoc.do?pubRef=-//EP//NONSGML+TA+P7-TA-2011-0257+0+DOC+PDF+V0//EN" TargetMode="External"/><Relationship Id="rId22" Type="http://schemas.openxmlformats.org/officeDocument/2006/relationships/hyperlink" Target="http://trade.ec.europa.eu/doclib/docs/2016/august/tradoc_154837.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Administration\Letterheads\Letterheads%202013-2016\ETUCE%20Letterhea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TermInfo xmlns="http://schemas.microsoft.com/office/infopath/2007/PartnerControls">
          <TermName xmlns="http://schemas.microsoft.com/office/infopath/2007/PartnerControls">20161025 48th Executive Board meeting,Brussels</TermName>
          <TermId xmlns="http://schemas.microsoft.com/office/infopath/2007/PartnerControls">73da66b9-7c48-4c2d-b38e-453a2a4b0972</TermId>
        </TermInfo>
      </Term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TermInfo xmlns="http://schemas.microsoft.com/office/infopath/2007/PartnerControls">
          <TermName>Trade and education</TermName>
          <TermId>01154d60-20f7-4faf-b870-17a8ae057c28</TermId>
        </TermInfo>
      </Terms>
    </kd7281ab553349538e0242a0ee89a9e1>
    <i64256cf79b641ea809ba8b9a8069568 xmlns="db13979b-e751-4565-a77b-71e7edb4f069">
      <Terms xmlns="http://schemas.microsoft.com/office/infopath/2007/PartnerControls">
        <TermInfo xmlns="http://schemas.microsoft.com/office/infopath/2007/PartnerControls">
          <TermName>WorldWide</TermName>
          <TermId>eeaa6833-785a-407f-99c6-8f29959a896d</TermId>
        </TermInfo>
      </Terms>
    </i64256cf79b641ea809ba8b9a8069568>
    <EITopic xmlns="db13979b-e751-4565-a77b-71e7edb4f069"/>
    <DocumentSource xmlns="db13979b-e751-4565-a77b-71e7edb4f069">1</DocumentSource>
    <DocumentLanguage xmlns="db13979b-e751-4565-a77b-71e7edb4f069">English</DocumentLanguage>
    <o79ce48fd8d44e5eaac3fd0fc82a2951 xmlns="db13979b-e751-4565-a77b-71e7edb4f069">
      <Terms xmlns="http://schemas.microsoft.com/office/infopath/2007/PartnerControls">
        <TermInfo xmlns="http://schemas.microsoft.com/office/infopath/2007/PartnerControls">
          <TermName>Executive Board (EXBO)</TermName>
          <TermId>bc817f2f-a4f9-4bad-a572-1a1f0184f179</TermId>
        </TermInfo>
      </Terms>
    </o79ce48fd8d44e5eaac3fd0fc82a2951>
    <EITermbaseTaxHTField0 xmlns="db13979b-e751-4565-a77b-71e7edb4f069">
      <Terms xmlns="http://schemas.microsoft.com/office/infopath/2007/PartnerControls">
        <TermInfo xmlns="http://schemas.microsoft.com/office/infopath/2007/PartnerControls">
          <TermName>Report</TermName>
          <TermId>d475a245-2452-40c7-942a-599c7e30ec67</TermId>
        </TermInfo>
      </Terms>
    </EITermbaseTaxHTField0>
    <TaxCatchAll xmlns="db13979b-e751-4565-a77b-71e7edb4f069">
      <Value>10</Value>
      <Value>338</Value>
      <Value>359</Value>
      <Value>48</Value>
      <Value>57</Value>
      <Value>45</Value>
    </TaxCatchAll>
    <Date xmlns="db13979b-e751-4565-a77b-71e7edb4f069">2016-10-02T22:00:00+00:00</Date>
    <hd0be951f11940a08013d67eec6505c8 xmlns="db13979b-e751-4565-a77b-71e7edb4f069">
      <Terms xmlns="http://schemas.microsoft.com/office/infopath/2007/PartnerControls">
        <TermInfo xmlns="http://schemas.microsoft.com/office/infopath/2007/PartnerControls">
          <TermName xmlns="http://schemas.microsoft.com/office/infopath/2007/PartnerControls">Education and Employment</TermName>
          <TermId xmlns="http://schemas.microsoft.com/office/infopath/2007/PartnerControls">2d517a96-320f-4f8c-adca-c94582a4be96</TermId>
        </TermInfo>
      </Terms>
    </hd0be951f11940a08013d67eec6505c8>
  </documentManagement>
</p:properties>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53C86-33E6-4908-8420-C070485C5599}"/>
</file>

<file path=customXml/itemProps2.xml><?xml version="1.0" encoding="utf-8"?>
<ds:datastoreItem xmlns:ds="http://schemas.openxmlformats.org/officeDocument/2006/customXml" ds:itemID="{99E4932D-D60C-4FA5-BD14-66B8642543A8}"/>
</file>

<file path=customXml/itemProps3.xml><?xml version="1.0" encoding="utf-8"?>
<ds:datastoreItem xmlns:ds="http://schemas.openxmlformats.org/officeDocument/2006/customXml" ds:itemID="{3531C8E5-E42D-405C-8255-BF0D25D5A15F}"/>
</file>

<file path=customXml/itemProps4.xml><?xml version="1.0" encoding="utf-8"?>
<ds:datastoreItem xmlns:ds="http://schemas.openxmlformats.org/officeDocument/2006/customXml" ds:itemID="{8757D1A1-09D0-4EE1-934A-5467652E4B7F}"/>
</file>

<file path=customXml/itemProps5.xml><?xml version="1.0" encoding="utf-8"?>
<ds:datastoreItem xmlns:ds="http://schemas.openxmlformats.org/officeDocument/2006/customXml" ds:itemID="{ABCF212D-544F-450B-80EA-8C1A37A072C7}"/>
</file>

<file path=docProps/app.xml><?xml version="1.0" encoding="utf-8"?>
<Properties xmlns="http://schemas.openxmlformats.org/officeDocument/2006/extended-properties" xmlns:vt="http://schemas.openxmlformats.org/officeDocument/2006/docPropsVTypes">
  <Template>ETUCE Letterhead_EN</Template>
  <TotalTime>0</TotalTime>
  <Pages>5</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Education and trade</vt:lpstr>
    </vt:vector>
  </TitlesOfParts>
  <Company>Education International</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trade</dc:title>
  <dc:subject>04. Progress report</dc:subject>
  <dc:creator>Louise Hoj.Larsen</dc:creator>
  <cp:lastModifiedBy>Duncan Smith</cp:lastModifiedBy>
  <cp:revision>2</cp:revision>
  <cp:lastPrinted>2016-09-30T12:52:00Z</cp:lastPrinted>
  <dcterms:created xsi:type="dcterms:W3CDTF">2016-10-12T10:00:00Z</dcterms:created>
  <dcterms:modified xsi:type="dcterms:W3CDTF">2016-10-12T10:00:00Z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-1703035330</vt:i4>
  </property>
  <property fmtid="{D5CDD505-2E9C-101B-9397-08002B2CF9AE}" pid="4" name="ContentTypeId">
    <vt:lpwstr>0x010100AA2F8202531E2B479DC903BD7BCD5C3F00E04239BAE3CFF643A8203BF81E96DC51</vt:lpwstr>
  </property>
  <property fmtid="{D5CDD505-2E9C-101B-9397-08002B2CF9AE}" pid="5" name="EITermbase">
    <vt:lpwstr>10;#Report|d475a245-2452-40c7-942a-599c7e30ec67</vt:lpwstr>
  </property>
  <property fmtid="{D5CDD505-2E9C-101B-9397-08002B2CF9AE}" pid="6" name="EIEvent">
    <vt:lpwstr>359;#20161025 48th Executive Board meeting,Brussels|73da66b9-7c48-4c2d-b38e-453a2a4b0972</vt:lpwstr>
  </property>
  <property fmtid="{D5CDD505-2E9C-101B-9397-08002B2CF9AE}" pid="7" name="EIUnit1">
    <vt:lpwstr>45;#Education and Employment|2d517a96-320f-4f8c-adca-c94582a4be96</vt:lpwstr>
  </property>
  <property fmtid="{D5CDD505-2E9C-101B-9397-08002B2CF9AE}" pid="8" name="EIRegion1">
    <vt:lpwstr>48;#WorldWide|eeaa6833-785a-407f-99c6-8f29959a896d</vt:lpwstr>
  </property>
  <property fmtid="{D5CDD505-2E9C-101B-9397-08002B2CF9AE}" pid="9" name="EIGroup">
    <vt:lpwstr>57;#Executive Board (EXBO)|bc817f2f-a4f9-4bad-a572-1a1f0184f179</vt:lpwstr>
  </property>
  <property fmtid="{D5CDD505-2E9C-101B-9397-08002B2CF9AE}" pid="10" name="EITopic1">
    <vt:lpwstr>338;#Trade and education|01154d60-20f7-4faf-b870-17a8ae057c28</vt:lpwstr>
  </property>
</Properties>
</file>