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CD172" w14:textId="35543A31" w:rsidR="00596913" w:rsidRPr="00043E2C" w:rsidRDefault="00596913" w:rsidP="00043E2C">
      <w:pPr>
        <w:keepNext/>
        <w:autoSpaceDE w:val="0"/>
        <w:autoSpaceDN w:val="0"/>
        <w:outlineLvl w:val="3"/>
        <w:rPr>
          <w:rFonts w:ascii="Tahoma" w:hAnsi="Tahoma" w:cs="Tahoma"/>
          <w:b/>
          <w:bCs/>
          <w:sz w:val="56"/>
          <w:szCs w:val="56"/>
        </w:rPr>
      </w:pPr>
      <w:r w:rsidRPr="00043E2C">
        <w:rPr>
          <w:rFonts w:ascii="Tahoma" w:hAnsi="Tahoma"/>
          <w:b/>
          <w:bCs/>
          <w:sz w:val="56"/>
          <w:szCs w:val="56"/>
        </w:rPr>
        <w:t>EDUCATION ET COMMERCE</w:t>
      </w:r>
    </w:p>
    <w:p w14:paraId="5172003E" w14:textId="77777777" w:rsidR="00217E53" w:rsidRPr="00806CA2" w:rsidRDefault="00217E53" w:rsidP="7FA80C2C">
      <w:pPr>
        <w:rPr>
          <w:rFonts w:ascii="Tahoma" w:hAnsi="Tahoma" w:cs="Tahoma"/>
          <w:b/>
          <w:sz w:val="20"/>
          <w:szCs w:val="20"/>
          <w:lang w:val="en-GB"/>
        </w:rPr>
      </w:pPr>
    </w:p>
    <w:p w14:paraId="1D8035C0" w14:textId="12ABFBCA" w:rsidR="00217E53" w:rsidRPr="00806CA2" w:rsidRDefault="00300CB4" w:rsidP="00043E2C">
      <w:pPr>
        <w:rPr>
          <w:rFonts w:ascii="Tahoma" w:hAnsi="Tahoma" w:cs="Tahoma"/>
          <w:b/>
          <w:sz w:val="20"/>
          <w:szCs w:val="20"/>
        </w:rPr>
      </w:pPr>
      <w:r>
        <w:rPr>
          <w:rFonts w:ascii="Tahoma" w:hAnsi="Tahoma"/>
          <w:b/>
          <w:sz w:val="20"/>
          <w:szCs w:val="20"/>
        </w:rPr>
        <w:t>Septembre 2016</w:t>
      </w:r>
    </w:p>
    <w:p w14:paraId="5A9AB774" w14:textId="50E27423" w:rsidR="00217E53" w:rsidRDefault="00217E53" w:rsidP="00596913">
      <w:pPr>
        <w:rPr>
          <w:rFonts w:ascii="Tahoma" w:hAnsi="Tahoma" w:cs="Tahoma"/>
          <w:b/>
          <w:sz w:val="20"/>
          <w:szCs w:val="20"/>
          <w:lang w:val="en-GB"/>
        </w:rPr>
      </w:pPr>
    </w:p>
    <w:p w14:paraId="1A8E4FAA" w14:textId="03B11D70" w:rsidR="00043E2C" w:rsidRDefault="00043E2C" w:rsidP="00596913">
      <w:pPr>
        <w:rPr>
          <w:rFonts w:ascii="Tahoma" w:hAnsi="Tahoma" w:cs="Tahoma"/>
          <w:b/>
          <w:sz w:val="20"/>
          <w:szCs w:val="20"/>
          <w:lang w:val="en-GB"/>
        </w:rPr>
      </w:pPr>
    </w:p>
    <w:p w14:paraId="3CC311D4" w14:textId="77777777" w:rsidR="00043E2C" w:rsidRDefault="00043E2C" w:rsidP="00596913">
      <w:pPr>
        <w:rPr>
          <w:rFonts w:ascii="Tahoma" w:hAnsi="Tahoma" w:cs="Tahoma"/>
          <w:b/>
          <w:sz w:val="20"/>
          <w:szCs w:val="20"/>
          <w:lang w:val="en-GB"/>
        </w:rPr>
      </w:pPr>
    </w:p>
    <w:p w14:paraId="6E488F15" w14:textId="48C63A74" w:rsidR="00D61F3B" w:rsidRPr="00D61F3B" w:rsidRDefault="00D61F3B" w:rsidP="00596913">
      <w:pPr>
        <w:rPr>
          <w:rFonts w:ascii="Tahoma" w:hAnsi="Tahoma" w:cs="Tahoma"/>
          <w:b/>
          <w:sz w:val="20"/>
          <w:szCs w:val="20"/>
          <w:lang w:val="en-GB"/>
        </w:rPr>
      </w:pPr>
    </w:p>
    <w:p w14:paraId="3876973B" w14:textId="18BB8E23" w:rsidR="00217E53" w:rsidRDefault="00217E53" w:rsidP="00596913">
      <w:pPr>
        <w:pStyle w:val="ListParagraph"/>
        <w:numPr>
          <w:ilvl w:val="0"/>
          <w:numId w:val="34"/>
        </w:numPr>
        <w:rPr>
          <w:rFonts w:ascii="Tahoma" w:hAnsi="Tahoma" w:cs="Tahoma"/>
          <w:b/>
          <w:sz w:val="20"/>
          <w:szCs w:val="20"/>
        </w:rPr>
      </w:pPr>
      <w:r>
        <w:rPr>
          <w:rFonts w:ascii="Tahoma" w:hAnsi="Tahoma"/>
          <w:b/>
          <w:sz w:val="20"/>
          <w:szCs w:val="20"/>
        </w:rPr>
        <w:t>OMC</w:t>
      </w:r>
    </w:p>
    <w:p w14:paraId="38948D66" w14:textId="77777777" w:rsidR="00806CA2" w:rsidRPr="00806CA2" w:rsidRDefault="00806CA2" w:rsidP="00596913">
      <w:pPr>
        <w:pStyle w:val="ListParagraph"/>
        <w:ind w:left="360"/>
        <w:rPr>
          <w:rFonts w:ascii="Tahoma" w:hAnsi="Tahoma" w:cs="Tahoma"/>
          <w:b/>
          <w:sz w:val="20"/>
          <w:szCs w:val="20"/>
          <w:lang w:val="en-GB"/>
        </w:rPr>
      </w:pPr>
    </w:p>
    <w:p w14:paraId="3601492A" w14:textId="1CE2878D" w:rsidR="00217E53" w:rsidRPr="00C54022" w:rsidRDefault="00217E53" w:rsidP="00596913">
      <w:pPr>
        <w:shd w:val="clear" w:color="auto" w:fill="FFFFFF"/>
        <w:rPr>
          <w:rFonts w:ascii="Tahoma" w:hAnsi="Tahoma" w:cs="Tahoma"/>
          <w:color w:val="000000"/>
          <w:sz w:val="20"/>
          <w:szCs w:val="20"/>
        </w:rPr>
      </w:pPr>
      <w:r w:rsidRPr="00C54022">
        <w:rPr>
          <w:rFonts w:ascii="Tahoma" w:hAnsi="Tahoma"/>
          <w:sz w:val="20"/>
          <w:szCs w:val="20"/>
        </w:rPr>
        <w:t>Depuis le lancement du programme de Doha pour le développement (PDD) en 2001, les membres de l</w:t>
      </w:r>
      <w:r w:rsidR="00C54022">
        <w:rPr>
          <w:rFonts w:ascii="Tahoma" w:hAnsi="Tahoma"/>
          <w:sz w:val="20"/>
          <w:szCs w:val="20"/>
        </w:rPr>
        <w:t>’</w:t>
      </w:r>
      <w:r w:rsidRPr="00C54022">
        <w:rPr>
          <w:rFonts w:ascii="Tahoma" w:hAnsi="Tahoma"/>
          <w:sz w:val="20"/>
          <w:szCs w:val="20"/>
        </w:rPr>
        <w:t>OMC n</w:t>
      </w:r>
      <w:r w:rsidR="00C54022">
        <w:rPr>
          <w:rFonts w:ascii="Tahoma" w:hAnsi="Tahoma"/>
          <w:sz w:val="20"/>
          <w:szCs w:val="20"/>
        </w:rPr>
        <w:t>’</w:t>
      </w:r>
      <w:r w:rsidRPr="00C54022">
        <w:rPr>
          <w:rFonts w:ascii="Tahoma" w:hAnsi="Tahoma"/>
          <w:sz w:val="20"/>
          <w:szCs w:val="20"/>
        </w:rPr>
        <w:t>ont pu parvenir à un accord sur la conclusion du PDD et, par suite, l</w:t>
      </w:r>
      <w:r w:rsidR="00C54022">
        <w:rPr>
          <w:rFonts w:ascii="Tahoma" w:hAnsi="Tahoma"/>
          <w:sz w:val="20"/>
          <w:szCs w:val="20"/>
        </w:rPr>
        <w:t>’</w:t>
      </w:r>
      <w:r w:rsidRPr="00C54022">
        <w:rPr>
          <w:rFonts w:ascii="Tahoma" w:hAnsi="Tahoma"/>
          <w:sz w:val="20"/>
          <w:szCs w:val="20"/>
        </w:rPr>
        <w:t>utilité et l</w:t>
      </w:r>
      <w:r w:rsidR="00C54022">
        <w:rPr>
          <w:rFonts w:ascii="Tahoma" w:hAnsi="Tahoma"/>
          <w:sz w:val="20"/>
          <w:szCs w:val="20"/>
        </w:rPr>
        <w:t>’</w:t>
      </w:r>
      <w:r w:rsidRPr="00C54022">
        <w:rPr>
          <w:rFonts w:ascii="Tahoma" w:hAnsi="Tahoma"/>
          <w:sz w:val="20"/>
          <w:szCs w:val="20"/>
        </w:rPr>
        <w:t>avenir de l</w:t>
      </w:r>
      <w:r w:rsidR="00C54022">
        <w:rPr>
          <w:rFonts w:ascii="Tahoma" w:hAnsi="Tahoma"/>
          <w:sz w:val="20"/>
          <w:szCs w:val="20"/>
        </w:rPr>
        <w:t>’</w:t>
      </w:r>
      <w:r w:rsidRPr="00C54022">
        <w:rPr>
          <w:rFonts w:ascii="Tahoma" w:hAnsi="Tahoma"/>
          <w:sz w:val="20"/>
          <w:szCs w:val="20"/>
        </w:rPr>
        <w:t xml:space="preserve">OMC ont été remis en question. </w:t>
      </w:r>
      <w:r w:rsidR="004F6C6D" w:rsidRPr="00C54022">
        <w:rPr>
          <w:rFonts w:ascii="Tahoma" w:hAnsi="Tahoma"/>
          <w:sz w:val="20"/>
          <w:szCs w:val="20"/>
        </w:rPr>
        <w:t>À</w:t>
      </w:r>
      <w:r w:rsidRPr="00C54022">
        <w:rPr>
          <w:rFonts w:ascii="Tahoma" w:hAnsi="Tahoma"/>
          <w:sz w:val="20"/>
          <w:szCs w:val="20"/>
        </w:rPr>
        <w:t xml:space="preserve"> plusieurs reprises, Roberto Azevedo, le Directeur général de l</w:t>
      </w:r>
      <w:r w:rsidR="00C54022">
        <w:rPr>
          <w:rFonts w:ascii="Tahoma" w:hAnsi="Tahoma"/>
          <w:sz w:val="20"/>
          <w:szCs w:val="20"/>
        </w:rPr>
        <w:t>’</w:t>
      </w:r>
      <w:r w:rsidRPr="00C54022">
        <w:rPr>
          <w:rFonts w:ascii="Tahoma" w:hAnsi="Tahoma"/>
          <w:sz w:val="20"/>
          <w:szCs w:val="20"/>
        </w:rPr>
        <w:t>OMC, a alerté du risque de « paralysie » et de « crise existentielle » de l</w:t>
      </w:r>
      <w:r w:rsidR="00C54022">
        <w:rPr>
          <w:rFonts w:ascii="Tahoma" w:hAnsi="Tahoma"/>
          <w:sz w:val="20"/>
          <w:szCs w:val="20"/>
        </w:rPr>
        <w:t>’</w:t>
      </w:r>
      <w:r w:rsidRPr="00C54022">
        <w:rPr>
          <w:rFonts w:ascii="Tahoma" w:hAnsi="Tahoma"/>
          <w:sz w:val="20"/>
          <w:szCs w:val="20"/>
        </w:rPr>
        <w:t>institution, dans la mesure où les membres les plus importants poursuivent leurs efforts en matière de libéralisation des échanges à l</w:t>
      </w:r>
      <w:r w:rsidR="00C54022">
        <w:rPr>
          <w:rFonts w:ascii="Tahoma" w:hAnsi="Tahoma"/>
          <w:sz w:val="20"/>
          <w:szCs w:val="20"/>
        </w:rPr>
        <w:t>’</w:t>
      </w:r>
      <w:r w:rsidRPr="00C54022">
        <w:rPr>
          <w:rFonts w:ascii="Tahoma" w:hAnsi="Tahoma"/>
          <w:sz w:val="20"/>
          <w:szCs w:val="20"/>
        </w:rPr>
        <w:t>extérieur de l</w:t>
      </w:r>
      <w:r w:rsidR="00C54022">
        <w:rPr>
          <w:rFonts w:ascii="Tahoma" w:hAnsi="Tahoma"/>
          <w:sz w:val="20"/>
          <w:szCs w:val="20"/>
        </w:rPr>
        <w:t>’</w:t>
      </w:r>
      <w:r w:rsidRPr="00C54022">
        <w:rPr>
          <w:rFonts w:ascii="Tahoma" w:hAnsi="Tahoma"/>
          <w:sz w:val="20"/>
          <w:szCs w:val="20"/>
        </w:rPr>
        <w:t>OMC.</w:t>
      </w:r>
      <w:r w:rsidRPr="00C54022">
        <w:rPr>
          <w:rFonts w:ascii="Tahoma" w:hAnsi="Tahoma"/>
          <w:color w:val="000000"/>
          <w:sz w:val="20"/>
          <w:szCs w:val="20"/>
        </w:rPr>
        <w:t xml:space="preserve"> Les accords de libre-échange (ALE) présentés ci-dessous sont une conséquence de l</w:t>
      </w:r>
      <w:r w:rsidR="00C54022">
        <w:rPr>
          <w:rFonts w:ascii="Tahoma" w:hAnsi="Tahoma"/>
          <w:color w:val="000000"/>
          <w:sz w:val="20"/>
          <w:szCs w:val="20"/>
        </w:rPr>
        <w:t>’</w:t>
      </w:r>
      <w:r w:rsidRPr="00C54022">
        <w:rPr>
          <w:rFonts w:ascii="Tahoma" w:hAnsi="Tahoma"/>
          <w:color w:val="000000"/>
          <w:sz w:val="20"/>
          <w:szCs w:val="20"/>
        </w:rPr>
        <w:t>impasse dans laquelle se trouve l</w:t>
      </w:r>
      <w:r w:rsidR="00C54022">
        <w:rPr>
          <w:rFonts w:ascii="Tahoma" w:hAnsi="Tahoma"/>
          <w:color w:val="000000"/>
          <w:sz w:val="20"/>
          <w:szCs w:val="20"/>
        </w:rPr>
        <w:t>’</w:t>
      </w:r>
      <w:r w:rsidRPr="00C54022">
        <w:rPr>
          <w:rFonts w:ascii="Tahoma" w:hAnsi="Tahoma"/>
          <w:color w:val="000000"/>
          <w:sz w:val="20"/>
          <w:szCs w:val="20"/>
        </w:rPr>
        <w:t>OMC et qui fragilise sa position. Cependant, il existe quelques petites exceptions au blocage de l</w:t>
      </w:r>
      <w:r w:rsidR="00C54022">
        <w:rPr>
          <w:rFonts w:ascii="Tahoma" w:hAnsi="Tahoma"/>
          <w:color w:val="000000"/>
          <w:sz w:val="20"/>
          <w:szCs w:val="20"/>
        </w:rPr>
        <w:t>’</w:t>
      </w:r>
      <w:r w:rsidRPr="00C54022">
        <w:rPr>
          <w:rFonts w:ascii="Tahoma" w:hAnsi="Tahoma"/>
          <w:color w:val="000000"/>
          <w:sz w:val="20"/>
          <w:szCs w:val="20"/>
        </w:rPr>
        <w:t>OMC. L</w:t>
      </w:r>
      <w:r w:rsidR="00C54022">
        <w:rPr>
          <w:rFonts w:ascii="Tahoma" w:hAnsi="Tahoma"/>
          <w:color w:val="000000"/>
          <w:sz w:val="20"/>
          <w:szCs w:val="20"/>
        </w:rPr>
        <w:t>’</w:t>
      </w:r>
      <w:r w:rsidRPr="00C54022">
        <w:rPr>
          <w:rFonts w:ascii="Tahoma" w:hAnsi="Tahoma"/>
          <w:color w:val="000000"/>
          <w:sz w:val="20"/>
          <w:szCs w:val="20"/>
        </w:rPr>
        <w:t>une est le paquet de Bali qui a fait l</w:t>
      </w:r>
      <w:r w:rsidR="00C54022">
        <w:rPr>
          <w:rFonts w:ascii="Tahoma" w:hAnsi="Tahoma"/>
          <w:color w:val="000000"/>
          <w:sz w:val="20"/>
          <w:szCs w:val="20"/>
        </w:rPr>
        <w:t>’</w:t>
      </w:r>
      <w:r w:rsidRPr="00C54022">
        <w:rPr>
          <w:rFonts w:ascii="Tahoma" w:hAnsi="Tahoma"/>
          <w:color w:val="000000"/>
          <w:sz w:val="20"/>
          <w:szCs w:val="20"/>
        </w:rPr>
        <w:t>objet d</w:t>
      </w:r>
      <w:r w:rsidR="00C54022">
        <w:rPr>
          <w:rFonts w:ascii="Tahoma" w:hAnsi="Tahoma"/>
          <w:color w:val="000000"/>
          <w:sz w:val="20"/>
          <w:szCs w:val="20"/>
        </w:rPr>
        <w:t>’</w:t>
      </w:r>
      <w:r w:rsidRPr="00C54022">
        <w:rPr>
          <w:rFonts w:ascii="Tahoma" w:hAnsi="Tahoma"/>
          <w:color w:val="000000"/>
          <w:sz w:val="20"/>
          <w:szCs w:val="20"/>
        </w:rPr>
        <w:t>un accord lors de la 9</w:t>
      </w:r>
      <w:r w:rsidRPr="00C54022">
        <w:rPr>
          <w:rFonts w:ascii="Tahoma" w:hAnsi="Tahoma"/>
          <w:color w:val="000000"/>
          <w:sz w:val="20"/>
          <w:szCs w:val="20"/>
          <w:vertAlign w:val="superscript"/>
        </w:rPr>
        <w:t>ème</w:t>
      </w:r>
      <w:r w:rsidRPr="00C54022">
        <w:rPr>
          <w:rFonts w:ascii="Tahoma" w:hAnsi="Tahoma"/>
          <w:color w:val="000000"/>
          <w:sz w:val="20"/>
          <w:szCs w:val="20"/>
        </w:rPr>
        <w:t xml:space="preserve"> Conférence ministérielle, en décembre 2013. Lors de la 10</w:t>
      </w:r>
      <w:r w:rsidRPr="00C54022">
        <w:rPr>
          <w:rFonts w:ascii="Tahoma" w:hAnsi="Tahoma"/>
          <w:color w:val="000000"/>
          <w:sz w:val="20"/>
          <w:szCs w:val="20"/>
          <w:vertAlign w:val="superscript"/>
        </w:rPr>
        <w:t>ème</w:t>
      </w:r>
      <w:r w:rsidRPr="00C54022">
        <w:rPr>
          <w:rFonts w:ascii="Tahoma" w:hAnsi="Tahoma"/>
          <w:color w:val="000000"/>
          <w:sz w:val="20"/>
          <w:szCs w:val="20"/>
        </w:rPr>
        <w:t xml:space="preserve"> Conférence ministérielle de décembre 2015, un accord a été signé sur la suppression des subventions aux exportations agricoles. Néanmoins, l</w:t>
      </w:r>
      <w:r w:rsidR="00C54022">
        <w:rPr>
          <w:rFonts w:ascii="Tahoma" w:hAnsi="Tahoma"/>
          <w:color w:val="000000"/>
          <w:sz w:val="20"/>
          <w:szCs w:val="20"/>
        </w:rPr>
        <w:t>’</w:t>
      </w:r>
      <w:r w:rsidRPr="00C54022">
        <w:rPr>
          <w:rFonts w:ascii="Tahoma" w:hAnsi="Tahoma"/>
          <w:color w:val="000000"/>
          <w:sz w:val="20"/>
          <w:szCs w:val="20"/>
        </w:rPr>
        <w:t>objectif d</w:t>
      </w:r>
      <w:r w:rsidR="00C54022">
        <w:rPr>
          <w:rFonts w:ascii="Tahoma" w:hAnsi="Tahoma"/>
          <w:color w:val="000000"/>
          <w:sz w:val="20"/>
          <w:szCs w:val="20"/>
        </w:rPr>
        <w:t>’</w:t>
      </w:r>
      <w:r w:rsidRPr="00C54022">
        <w:rPr>
          <w:rFonts w:ascii="Tahoma" w:hAnsi="Tahoma"/>
          <w:color w:val="000000"/>
          <w:sz w:val="20"/>
          <w:szCs w:val="20"/>
        </w:rPr>
        <w:t>un accord sur le PDD n</w:t>
      </w:r>
      <w:r w:rsidR="00C54022">
        <w:rPr>
          <w:rFonts w:ascii="Tahoma" w:hAnsi="Tahoma"/>
          <w:color w:val="000000"/>
          <w:sz w:val="20"/>
          <w:szCs w:val="20"/>
        </w:rPr>
        <w:t>’</w:t>
      </w:r>
      <w:r w:rsidRPr="00C54022">
        <w:rPr>
          <w:rFonts w:ascii="Tahoma" w:hAnsi="Tahoma"/>
          <w:color w:val="000000"/>
          <w:sz w:val="20"/>
          <w:szCs w:val="20"/>
        </w:rPr>
        <w:t>a pas été atteint, au contraire, les membres de l</w:t>
      </w:r>
      <w:r w:rsidR="00C54022">
        <w:rPr>
          <w:rFonts w:ascii="Tahoma" w:hAnsi="Tahoma"/>
          <w:color w:val="000000"/>
          <w:sz w:val="20"/>
          <w:szCs w:val="20"/>
        </w:rPr>
        <w:t>’</w:t>
      </w:r>
      <w:r w:rsidRPr="00C54022">
        <w:rPr>
          <w:rFonts w:ascii="Tahoma" w:hAnsi="Tahoma"/>
          <w:color w:val="000000"/>
          <w:sz w:val="20"/>
          <w:szCs w:val="20"/>
        </w:rPr>
        <w:t>OMC ont admis dans la</w:t>
      </w:r>
      <w:r w:rsidR="00C54022">
        <w:rPr>
          <w:rFonts w:ascii="Tahoma" w:hAnsi="Tahoma"/>
          <w:color w:val="000000"/>
          <w:sz w:val="20"/>
          <w:szCs w:val="20"/>
        </w:rPr>
        <w:t xml:space="preserve"> </w:t>
      </w:r>
      <w:hyperlink r:id="rId12" w:history="1">
        <w:r w:rsidRPr="00C54022">
          <w:rPr>
            <w:rStyle w:val="Hyperlink"/>
            <w:rFonts w:ascii="Tahoma" w:hAnsi="Tahoma"/>
            <w:sz w:val="20"/>
            <w:szCs w:val="20"/>
          </w:rPr>
          <w:t>Déclaration de Nairobi</w:t>
        </w:r>
      </w:hyperlink>
      <w:r w:rsidRPr="00C54022">
        <w:rPr>
          <w:rFonts w:ascii="Tahoma" w:hAnsi="Tahoma"/>
          <w:color w:val="000000"/>
          <w:sz w:val="20"/>
          <w:szCs w:val="20"/>
        </w:rPr>
        <w:t xml:space="preserve"> qu</w:t>
      </w:r>
      <w:r w:rsidR="00C54022">
        <w:rPr>
          <w:rFonts w:ascii="Tahoma" w:hAnsi="Tahoma"/>
          <w:color w:val="000000"/>
          <w:sz w:val="20"/>
          <w:szCs w:val="20"/>
        </w:rPr>
        <w:t>’</w:t>
      </w:r>
      <w:r w:rsidRPr="00C54022">
        <w:rPr>
          <w:rFonts w:ascii="Tahoma" w:hAnsi="Tahoma"/>
          <w:color w:val="000000"/>
          <w:sz w:val="20"/>
          <w:szCs w:val="20"/>
        </w:rPr>
        <w:t>ils étaient divisés quant à l</w:t>
      </w:r>
      <w:r w:rsidR="00C54022">
        <w:rPr>
          <w:rFonts w:ascii="Tahoma" w:hAnsi="Tahoma"/>
          <w:color w:val="000000"/>
          <w:sz w:val="20"/>
          <w:szCs w:val="20"/>
        </w:rPr>
        <w:t>’</w:t>
      </w:r>
      <w:r w:rsidRPr="00C54022">
        <w:rPr>
          <w:rFonts w:ascii="Tahoma" w:hAnsi="Tahoma"/>
          <w:color w:val="000000"/>
          <w:sz w:val="20"/>
          <w:szCs w:val="20"/>
        </w:rPr>
        <w:t>avenir du PPD. Récemment, l</w:t>
      </w:r>
      <w:r w:rsidR="00C54022">
        <w:rPr>
          <w:rFonts w:ascii="Tahoma" w:hAnsi="Tahoma"/>
          <w:color w:val="000000"/>
          <w:sz w:val="20"/>
          <w:szCs w:val="20"/>
        </w:rPr>
        <w:t>’</w:t>
      </w:r>
      <w:r w:rsidRPr="00C54022">
        <w:rPr>
          <w:rFonts w:ascii="Tahoma" w:hAnsi="Tahoma"/>
          <w:color w:val="000000"/>
          <w:sz w:val="20"/>
          <w:szCs w:val="20"/>
        </w:rPr>
        <w:t>accent a été mis avec insistance sur le commerce électronique et, lors de la prochaine conférence ministérielle de décembre 2017, il devrait être au centre de l</w:t>
      </w:r>
      <w:r w:rsidR="00C54022">
        <w:rPr>
          <w:rFonts w:ascii="Tahoma" w:hAnsi="Tahoma"/>
          <w:color w:val="000000"/>
          <w:sz w:val="20"/>
          <w:szCs w:val="20"/>
        </w:rPr>
        <w:t>’</w:t>
      </w:r>
      <w:r w:rsidRPr="00C54022">
        <w:rPr>
          <w:rFonts w:ascii="Tahoma" w:hAnsi="Tahoma"/>
          <w:color w:val="000000"/>
          <w:sz w:val="20"/>
          <w:szCs w:val="20"/>
        </w:rPr>
        <w:t>attention. Cette attention au commerce électronique est principalement due à la situation actuelle, car le monde évoluant, il est nécessaire de redéfinir les règles sur la question. En même temps, il s</w:t>
      </w:r>
      <w:r w:rsidR="00C54022">
        <w:rPr>
          <w:rFonts w:ascii="Tahoma" w:hAnsi="Tahoma"/>
          <w:color w:val="000000"/>
          <w:sz w:val="20"/>
          <w:szCs w:val="20"/>
        </w:rPr>
        <w:t>’</w:t>
      </w:r>
      <w:r w:rsidRPr="00C54022">
        <w:rPr>
          <w:rFonts w:ascii="Tahoma" w:hAnsi="Tahoma"/>
          <w:color w:val="000000"/>
          <w:sz w:val="20"/>
          <w:szCs w:val="20"/>
        </w:rPr>
        <w:t>agit d</w:t>
      </w:r>
      <w:r w:rsidR="00C54022">
        <w:rPr>
          <w:rFonts w:ascii="Tahoma" w:hAnsi="Tahoma"/>
          <w:color w:val="000000"/>
          <w:sz w:val="20"/>
          <w:szCs w:val="20"/>
        </w:rPr>
        <w:t>’</w:t>
      </w:r>
      <w:r w:rsidRPr="00C54022">
        <w:rPr>
          <w:rFonts w:ascii="Tahoma" w:hAnsi="Tahoma"/>
          <w:color w:val="000000"/>
          <w:sz w:val="20"/>
          <w:szCs w:val="20"/>
        </w:rPr>
        <w:t>un sujet relativement nouveau pour les négociateurs de l</w:t>
      </w:r>
      <w:r w:rsidR="00C54022">
        <w:rPr>
          <w:rFonts w:ascii="Tahoma" w:hAnsi="Tahoma"/>
          <w:color w:val="000000"/>
          <w:sz w:val="20"/>
          <w:szCs w:val="20"/>
        </w:rPr>
        <w:t>’</w:t>
      </w:r>
      <w:r w:rsidRPr="00C54022">
        <w:rPr>
          <w:rFonts w:ascii="Tahoma" w:hAnsi="Tahoma"/>
          <w:color w:val="000000"/>
          <w:sz w:val="20"/>
          <w:szCs w:val="20"/>
        </w:rPr>
        <w:t>OMC, qui n</w:t>
      </w:r>
      <w:r w:rsidR="00C54022">
        <w:rPr>
          <w:rFonts w:ascii="Tahoma" w:hAnsi="Tahoma"/>
          <w:color w:val="000000"/>
          <w:sz w:val="20"/>
          <w:szCs w:val="20"/>
        </w:rPr>
        <w:t>’</w:t>
      </w:r>
      <w:r w:rsidRPr="00C54022">
        <w:rPr>
          <w:rFonts w:ascii="Tahoma" w:hAnsi="Tahoma"/>
          <w:color w:val="000000"/>
          <w:sz w:val="20"/>
          <w:szCs w:val="20"/>
        </w:rPr>
        <w:t>a, pour le moment, été confronté à aucun problème, à la différence des questions traditionnelles. Selon Azevedo : « On ne sait pas vraiment ce qui peut être fait, mais je crois que si nous répondons aux attentes et si nous nous efforçons d</w:t>
      </w:r>
      <w:r w:rsidR="00C54022">
        <w:rPr>
          <w:rFonts w:ascii="Tahoma" w:hAnsi="Tahoma"/>
          <w:color w:val="000000"/>
          <w:sz w:val="20"/>
          <w:szCs w:val="20"/>
        </w:rPr>
        <w:t>’</w:t>
      </w:r>
      <w:r w:rsidRPr="00C54022">
        <w:rPr>
          <w:rFonts w:ascii="Tahoma" w:hAnsi="Tahoma"/>
          <w:color w:val="000000"/>
          <w:sz w:val="20"/>
          <w:szCs w:val="20"/>
        </w:rPr>
        <w:t>agir de manière équilibrée, c</w:t>
      </w:r>
      <w:r w:rsidR="00C54022">
        <w:rPr>
          <w:rFonts w:ascii="Tahoma" w:hAnsi="Tahoma"/>
          <w:color w:val="000000"/>
          <w:sz w:val="20"/>
          <w:szCs w:val="20"/>
        </w:rPr>
        <w:t>’</w:t>
      </w:r>
      <w:r w:rsidRPr="00C54022">
        <w:rPr>
          <w:rFonts w:ascii="Tahoma" w:hAnsi="Tahoma"/>
          <w:color w:val="000000"/>
          <w:sz w:val="20"/>
          <w:szCs w:val="20"/>
        </w:rPr>
        <w:t>est</w:t>
      </w:r>
      <w:r w:rsidR="00C54022">
        <w:rPr>
          <w:rFonts w:ascii="Tahoma" w:hAnsi="Tahoma"/>
          <w:color w:val="000000"/>
          <w:sz w:val="20"/>
          <w:szCs w:val="20"/>
        </w:rPr>
        <w:t>-</w:t>
      </w:r>
      <w:r w:rsidRPr="00C54022">
        <w:rPr>
          <w:rFonts w:ascii="Tahoma" w:hAnsi="Tahoma"/>
          <w:color w:val="000000"/>
          <w:sz w:val="20"/>
          <w:szCs w:val="20"/>
        </w:rPr>
        <w:t>à</w:t>
      </w:r>
      <w:r w:rsidR="00C54022">
        <w:rPr>
          <w:rFonts w:ascii="Tahoma" w:hAnsi="Tahoma"/>
          <w:color w:val="000000"/>
          <w:sz w:val="20"/>
          <w:szCs w:val="20"/>
        </w:rPr>
        <w:t>-</w:t>
      </w:r>
      <w:r w:rsidRPr="00C54022">
        <w:rPr>
          <w:rFonts w:ascii="Tahoma" w:hAnsi="Tahoma"/>
          <w:color w:val="000000"/>
          <w:sz w:val="20"/>
          <w:szCs w:val="20"/>
        </w:rPr>
        <w:t>dire en tenant compte de l</w:t>
      </w:r>
      <w:r w:rsidR="00C54022">
        <w:rPr>
          <w:rFonts w:ascii="Tahoma" w:hAnsi="Tahoma"/>
          <w:color w:val="000000"/>
          <w:sz w:val="20"/>
          <w:szCs w:val="20"/>
        </w:rPr>
        <w:t>’</w:t>
      </w:r>
      <w:r w:rsidRPr="00C54022">
        <w:rPr>
          <w:rFonts w:ascii="Tahoma" w:hAnsi="Tahoma"/>
          <w:color w:val="000000"/>
          <w:sz w:val="20"/>
          <w:szCs w:val="20"/>
        </w:rPr>
        <w:t>intérêt des économies avancées comme des économies en développement, nous pouvons nous attendre à des résultats intéressants. » Il sera essentiel de surveiller l</w:t>
      </w:r>
      <w:r w:rsidR="00C54022">
        <w:rPr>
          <w:rFonts w:ascii="Tahoma" w:hAnsi="Tahoma"/>
          <w:color w:val="000000"/>
          <w:sz w:val="20"/>
          <w:szCs w:val="20"/>
        </w:rPr>
        <w:t>’</w:t>
      </w:r>
      <w:r w:rsidRPr="00C54022">
        <w:rPr>
          <w:rFonts w:ascii="Tahoma" w:hAnsi="Tahoma"/>
          <w:color w:val="000000"/>
          <w:sz w:val="20"/>
          <w:szCs w:val="20"/>
        </w:rPr>
        <w:t>évolution de l</w:t>
      </w:r>
      <w:r w:rsidR="00C54022">
        <w:rPr>
          <w:rFonts w:ascii="Tahoma" w:hAnsi="Tahoma"/>
          <w:color w:val="000000"/>
          <w:sz w:val="20"/>
          <w:szCs w:val="20"/>
        </w:rPr>
        <w:t>’</w:t>
      </w:r>
      <w:r w:rsidRPr="00C54022">
        <w:rPr>
          <w:rFonts w:ascii="Tahoma" w:hAnsi="Tahoma"/>
          <w:color w:val="000000"/>
          <w:sz w:val="20"/>
          <w:szCs w:val="20"/>
        </w:rPr>
        <w:t>OMC sur le commerce électronique, notamment les liens entre l</w:t>
      </w:r>
      <w:r w:rsidR="00C54022">
        <w:rPr>
          <w:rFonts w:ascii="Tahoma" w:hAnsi="Tahoma"/>
          <w:color w:val="000000"/>
          <w:sz w:val="20"/>
          <w:szCs w:val="20"/>
        </w:rPr>
        <w:t>’</w:t>
      </w:r>
      <w:r w:rsidRPr="00C54022">
        <w:rPr>
          <w:rFonts w:ascii="Tahoma" w:hAnsi="Tahoma"/>
          <w:color w:val="000000"/>
          <w:sz w:val="20"/>
          <w:szCs w:val="20"/>
        </w:rPr>
        <w:t>éducation et le commerce électronique compte tenu de l</w:t>
      </w:r>
      <w:r w:rsidR="00C54022">
        <w:rPr>
          <w:rFonts w:ascii="Tahoma" w:hAnsi="Tahoma"/>
          <w:color w:val="000000"/>
          <w:sz w:val="20"/>
          <w:szCs w:val="20"/>
        </w:rPr>
        <w:t>’</w:t>
      </w:r>
      <w:r w:rsidRPr="00C54022">
        <w:rPr>
          <w:rFonts w:ascii="Tahoma" w:hAnsi="Tahoma"/>
          <w:color w:val="000000"/>
          <w:sz w:val="20"/>
          <w:szCs w:val="20"/>
        </w:rPr>
        <w:t>évolution de l</w:t>
      </w:r>
      <w:r w:rsidR="00C54022">
        <w:rPr>
          <w:rFonts w:ascii="Tahoma" w:hAnsi="Tahoma"/>
          <w:color w:val="000000"/>
          <w:sz w:val="20"/>
          <w:szCs w:val="20"/>
        </w:rPr>
        <w:t>’</w:t>
      </w:r>
      <w:r w:rsidRPr="00C54022">
        <w:rPr>
          <w:rFonts w:ascii="Tahoma" w:hAnsi="Tahoma"/>
          <w:color w:val="000000"/>
          <w:sz w:val="20"/>
          <w:szCs w:val="20"/>
        </w:rPr>
        <w:t>apprentissage en ligne et des matériels d</w:t>
      </w:r>
      <w:r w:rsidR="00C54022">
        <w:rPr>
          <w:rFonts w:ascii="Tahoma" w:hAnsi="Tahoma"/>
          <w:color w:val="000000"/>
          <w:sz w:val="20"/>
          <w:szCs w:val="20"/>
        </w:rPr>
        <w:t>’</w:t>
      </w:r>
      <w:r w:rsidRPr="00C54022">
        <w:rPr>
          <w:rFonts w:ascii="Tahoma" w:hAnsi="Tahoma"/>
          <w:color w:val="000000"/>
          <w:sz w:val="20"/>
          <w:szCs w:val="20"/>
        </w:rPr>
        <w:t xml:space="preserve">éducation électroniques. </w:t>
      </w:r>
    </w:p>
    <w:p w14:paraId="1AAF7AA6" w14:textId="74662A87" w:rsidR="00D61F3B" w:rsidRPr="00C54022" w:rsidRDefault="00D61F3B" w:rsidP="00596913">
      <w:pPr>
        <w:shd w:val="clear" w:color="auto" w:fill="FFFFFF"/>
        <w:rPr>
          <w:rFonts w:ascii="Tahoma" w:hAnsi="Tahoma" w:cs="Tahoma"/>
          <w:color w:val="000000"/>
          <w:sz w:val="20"/>
          <w:szCs w:val="20"/>
          <w:lang w:eastAsia="en-GB" w:bidi="ar-SA"/>
        </w:rPr>
      </w:pPr>
    </w:p>
    <w:p w14:paraId="096735BD" w14:textId="43821F43" w:rsidR="00D61F3B" w:rsidRPr="00C54022" w:rsidRDefault="00D61F3B" w:rsidP="00596913">
      <w:pPr>
        <w:pStyle w:val="ListParagraph"/>
        <w:numPr>
          <w:ilvl w:val="0"/>
          <w:numId w:val="34"/>
        </w:numPr>
        <w:rPr>
          <w:rFonts w:ascii="Tahoma" w:hAnsi="Tahoma" w:cs="Tahoma"/>
          <w:b/>
          <w:sz w:val="20"/>
          <w:szCs w:val="20"/>
        </w:rPr>
      </w:pPr>
      <w:r w:rsidRPr="00C54022">
        <w:rPr>
          <w:rFonts w:ascii="Tahoma" w:hAnsi="Tahoma"/>
          <w:b/>
          <w:sz w:val="20"/>
          <w:szCs w:val="20"/>
        </w:rPr>
        <w:t>L</w:t>
      </w:r>
      <w:r w:rsidR="00C54022">
        <w:rPr>
          <w:rFonts w:ascii="Tahoma" w:hAnsi="Tahoma"/>
          <w:b/>
          <w:sz w:val="20"/>
          <w:szCs w:val="20"/>
        </w:rPr>
        <w:t>’</w:t>
      </w:r>
      <w:r w:rsidRPr="00C54022">
        <w:rPr>
          <w:rFonts w:ascii="Tahoma" w:hAnsi="Tahoma"/>
          <w:b/>
          <w:sz w:val="20"/>
          <w:szCs w:val="20"/>
        </w:rPr>
        <w:t xml:space="preserve">Accord économique et commercial global (AECG) </w:t>
      </w:r>
    </w:p>
    <w:p w14:paraId="57853BD2" w14:textId="77777777" w:rsidR="00D61F3B" w:rsidRPr="00C54022" w:rsidRDefault="00D61F3B" w:rsidP="00596913">
      <w:pPr>
        <w:pStyle w:val="ListParagraph"/>
        <w:ind w:left="360"/>
        <w:rPr>
          <w:rFonts w:ascii="Tahoma" w:hAnsi="Tahoma" w:cs="Tahoma"/>
          <w:b/>
          <w:sz w:val="20"/>
          <w:szCs w:val="20"/>
        </w:rPr>
      </w:pPr>
    </w:p>
    <w:p w14:paraId="2D54CEEB" w14:textId="6BA8BD39" w:rsidR="00D61F3B" w:rsidRPr="00C54022" w:rsidRDefault="00D61F3B" w:rsidP="00596913">
      <w:pPr>
        <w:rPr>
          <w:rFonts w:ascii="Tahoma" w:hAnsi="Tahoma" w:cs="Tahoma"/>
          <w:sz w:val="20"/>
          <w:szCs w:val="20"/>
        </w:rPr>
      </w:pPr>
      <w:r w:rsidRPr="00C54022">
        <w:rPr>
          <w:rFonts w:ascii="Tahoma" w:hAnsi="Tahoma"/>
          <w:sz w:val="20"/>
          <w:szCs w:val="20"/>
        </w:rPr>
        <w:t>Les négociations sur l</w:t>
      </w:r>
      <w:r w:rsidR="00C54022">
        <w:rPr>
          <w:rFonts w:ascii="Tahoma" w:hAnsi="Tahoma"/>
          <w:sz w:val="20"/>
          <w:szCs w:val="20"/>
        </w:rPr>
        <w:t>’</w:t>
      </w:r>
      <w:r w:rsidRPr="00C54022">
        <w:rPr>
          <w:rFonts w:ascii="Tahoma" w:hAnsi="Tahoma"/>
          <w:sz w:val="20"/>
          <w:szCs w:val="20"/>
        </w:rPr>
        <w:t>AECG (L</w:t>
      </w:r>
      <w:r w:rsidR="00C54022">
        <w:rPr>
          <w:rFonts w:ascii="Tahoma" w:hAnsi="Tahoma"/>
          <w:sz w:val="20"/>
          <w:szCs w:val="20"/>
        </w:rPr>
        <w:t>’</w:t>
      </w:r>
      <w:r w:rsidRPr="00C54022">
        <w:rPr>
          <w:rFonts w:ascii="Tahoma" w:hAnsi="Tahoma"/>
          <w:sz w:val="20"/>
          <w:szCs w:val="20"/>
        </w:rPr>
        <w:t>Accord économique et commercial global) entre le Canada et l</w:t>
      </w:r>
      <w:r w:rsidR="00C54022">
        <w:rPr>
          <w:rFonts w:ascii="Tahoma" w:hAnsi="Tahoma"/>
          <w:sz w:val="20"/>
          <w:szCs w:val="20"/>
        </w:rPr>
        <w:t>’</w:t>
      </w:r>
      <w:r w:rsidRPr="00C54022">
        <w:rPr>
          <w:rFonts w:ascii="Tahoma" w:hAnsi="Tahoma"/>
          <w:sz w:val="20"/>
          <w:szCs w:val="20"/>
        </w:rPr>
        <w:t>Union européenne ont démarré en mai 2009 et se sont conclues par un accord officiel en octobre 2014. La signature de l</w:t>
      </w:r>
      <w:r w:rsidR="00C54022">
        <w:rPr>
          <w:rFonts w:ascii="Tahoma" w:hAnsi="Tahoma"/>
          <w:sz w:val="20"/>
          <w:szCs w:val="20"/>
        </w:rPr>
        <w:t>’</w:t>
      </w:r>
      <w:r w:rsidRPr="00C54022">
        <w:rPr>
          <w:rFonts w:ascii="Tahoma" w:hAnsi="Tahoma"/>
          <w:sz w:val="20"/>
          <w:szCs w:val="20"/>
        </w:rPr>
        <w:t>AECG est prévue le 27 octobre 2016 lors du Sommet UE-Canada qui se tiendra à Bruxelles. Le 23 septembre, à l</w:t>
      </w:r>
      <w:r w:rsidR="00C54022">
        <w:rPr>
          <w:rFonts w:ascii="Tahoma" w:hAnsi="Tahoma"/>
          <w:sz w:val="20"/>
          <w:szCs w:val="20"/>
        </w:rPr>
        <w:t>’</w:t>
      </w:r>
      <w:r w:rsidRPr="00C54022">
        <w:rPr>
          <w:rFonts w:ascii="Tahoma" w:hAnsi="Tahoma"/>
          <w:sz w:val="20"/>
          <w:szCs w:val="20"/>
        </w:rPr>
        <w:t>occasion de la réunion informelle de l</w:t>
      </w:r>
      <w:r w:rsidR="00C54022">
        <w:rPr>
          <w:rFonts w:ascii="Tahoma" w:hAnsi="Tahoma"/>
          <w:sz w:val="20"/>
          <w:szCs w:val="20"/>
        </w:rPr>
        <w:t>’</w:t>
      </w:r>
      <w:r w:rsidRPr="00C54022">
        <w:rPr>
          <w:rFonts w:ascii="Tahoma" w:hAnsi="Tahoma"/>
          <w:sz w:val="20"/>
          <w:szCs w:val="20"/>
        </w:rPr>
        <w:t>Union européenne consacrée au commerce, il a été convenu qu</w:t>
      </w:r>
      <w:r w:rsidR="00C54022">
        <w:rPr>
          <w:rFonts w:ascii="Tahoma" w:hAnsi="Tahoma"/>
          <w:sz w:val="20"/>
          <w:szCs w:val="20"/>
        </w:rPr>
        <w:t>’</w:t>
      </w:r>
      <w:r w:rsidRPr="00C54022">
        <w:rPr>
          <w:rFonts w:ascii="Tahoma" w:hAnsi="Tahoma"/>
          <w:sz w:val="20"/>
          <w:szCs w:val="20"/>
        </w:rPr>
        <w:t>un projet de déclaration commune sur la fourniture des services publics, les droits du travail et la protection de l</w:t>
      </w:r>
      <w:r w:rsidR="00C54022">
        <w:rPr>
          <w:rFonts w:ascii="Tahoma" w:hAnsi="Tahoma"/>
          <w:sz w:val="20"/>
          <w:szCs w:val="20"/>
        </w:rPr>
        <w:t>’</w:t>
      </w:r>
      <w:r w:rsidRPr="00C54022">
        <w:rPr>
          <w:rFonts w:ascii="Tahoma" w:hAnsi="Tahoma"/>
          <w:sz w:val="20"/>
          <w:szCs w:val="20"/>
        </w:rPr>
        <w:t>environnement dans le cadre de l</w:t>
      </w:r>
      <w:r w:rsidR="00C54022">
        <w:rPr>
          <w:rFonts w:ascii="Tahoma" w:hAnsi="Tahoma"/>
          <w:sz w:val="20"/>
          <w:szCs w:val="20"/>
        </w:rPr>
        <w:t>’</w:t>
      </w:r>
      <w:r w:rsidR="004F6C6D">
        <w:rPr>
          <w:rFonts w:ascii="Tahoma" w:hAnsi="Tahoma"/>
          <w:sz w:val="20"/>
          <w:szCs w:val="20"/>
        </w:rPr>
        <w:t>AE</w:t>
      </w:r>
      <w:r w:rsidRPr="00C54022">
        <w:rPr>
          <w:rFonts w:ascii="Tahoma" w:hAnsi="Tahoma"/>
          <w:sz w:val="20"/>
          <w:szCs w:val="20"/>
        </w:rPr>
        <w:t>CG serait présenté aux États membres de l</w:t>
      </w:r>
      <w:r w:rsidR="00C54022">
        <w:rPr>
          <w:rFonts w:ascii="Tahoma" w:hAnsi="Tahoma"/>
          <w:sz w:val="20"/>
          <w:szCs w:val="20"/>
        </w:rPr>
        <w:t>’</w:t>
      </w:r>
      <w:r w:rsidRPr="00C54022">
        <w:rPr>
          <w:rFonts w:ascii="Tahoma" w:hAnsi="Tahoma"/>
          <w:sz w:val="20"/>
          <w:szCs w:val="20"/>
        </w:rPr>
        <w:t>UE, le 12 octobre, avant la réunion du Conseil du commerce du 18 octobre, où les ministres du commerce devraient approuver l</w:t>
      </w:r>
      <w:r w:rsidR="00C54022">
        <w:rPr>
          <w:rFonts w:ascii="Tahoma" w:hAnsi="Tahoma"/>
          <w:sz w:val="20"/>
          <w:szCs w:val="20"/>
        </w:rPr>
        <w:t>’</w:t>
      </w:r>
      <w:r w:rsidRPr="00C54022">
        <w:rPr>
          <w:rFonts w:ascii="Tahoma" w:hAnsi="Tahoma"/>
          <w:sz w:val="20"/>
          <w:szCs w:val="20"/>
        </w:rPr>
        <w:t>AECG. La Commission européenne a soumis l</w:t>
      </w:r>
      <w:r w:rsidR="00C54022">
        <w:rPr>
          <w:rFonts w:ascii="Tahoma" w:hAnsi="Tahoma"/>
          <w:sz w:val="20"/>
          <w:szCs w:val="20"/>
        </w:rPr>
        <w:t>’</w:t>
      </w:r>
      <w:r w:rsidRPr="00C54022">
        <w:rPr>
          <w:rFonts w:ascii="Tahoma" w:hAnsi="Tahoma"/>
          <w:sz w:val="20"/>
          <w:szCs w:val="20"/>
        </w:rPr>
        <w:t>AECG au Conseil pour approbation en juillet dernier. La Commission européenne a proposé l</w:t>
      </w:r>
      <w:r w:rsidR="00C54022">
        <w:rPr>
          <w:rFonts w:ascii="Tahoma" w:hAnsi="Tahoma"/>
          <w:sz w:val="20"/>
          <w:szCs w:val="20"/>
        </w:rPr>
        <w:t>’</w:t>
      </w:r>
      <w:r w:rsidRPr="00C54022">
        <w:rPr>
          <w:rFonts w:ascii="Tahoma" w:hAnsi="Tahoma"/>
          <w:sz w:val="20"/>
          <w:szCs w:val="20"/>
        </w:rPr>
        <w:t>AECG en tant qu</w:t>
      </w:r>
      <w:r w:rsidR="00C54022">
        <w:rPr>
          <w:rFonts w:ascii="Tahoma" w:hAnsi="Tahoma"/>
          <w:sz w:val="20"/>
          <w:szCs w:val="20"/>
        </w:rPr>
        <w:t>’</w:t>
      </w:r>
      <w:r w:rsidRPr="00C54022">
        <w:rPr>
          <w:rFonts w:ascii="Tahoma" w:hAnsi="Tahoma"/>
          <w:sz w:val="20"/>
          <w:szCs w:val="20"/>
        </w:rPr>
        <w:t>accord mixte qui sera appliqué provisoirement après l</w:t>
      </w:r>
      <w:r w:rsidR="00C54022">
        <w:rPr>
          <w:rFonts w:ascii="Tahoma" w:hAnsi="Tahoma"/>
          <w:sz w:val="20"/>
          <w:szCs w:val="20"/>
        </w:rPr>
        <w:t>’</w:t>
      </w:r>
      <w:r w:rsidRPr="00C54022">
        <w:rPr>
          <w:rFonts w:ascii="Tahoma" w:hAnsi="Tahoma"/>
          <w:sz w:val="20"/>
          <w:szCs w:val="20"/>
        </w:rPr>
        <w:t>accord du Conseil et l</w:t>
      </w:r>
      <w:r w:rsidR="00C54022">
        <w:rPr>
          <w:rFonts w:ascii="Tahoma" w:hAnsi="Tahoma"/>
          <w:sz w:val="20"/>
          <w:szCs w:val="20"/>
        </w:rPr>
        <w:t>’</w:t>
      </w:r>
      <w:r w:rsidRPr="00C54022">
        <w:rPr>
          <w:rFonts w:ascii="Tahoma" w:hAnsi="Tahoma"/>
          <w:sz w:val="20"/>
          <w:szCs w:val="20"/>
        </w:rPr>
        <w:t xml:space="preserve">approbation du Parlement européen (PE). La version consolidée et après révision juridique du </w:t>
      </w:r>
      <w:hyperlink r:id="rId13" w:history="1">
        <w:r w:rsidRPr="00C54022">
          <w:rPr>
            <w:rStyle w:val="Hyperlink"/>
            <w:rFonts w:ascii="Tahoma" w:hAnsi="Tahoma"/>
            <w:sz w:val="20"/>
            <w:szCs w:val="20"/>
          </w:rPr>
          <w:t>texte de l</w:t>
        </w:r>
        <w:r w:rsidR="00C54022">
          <w:rPr>
            <w:rStyle w:val="Hyperlink"/>
            <w:rFonts w:ascii="Tahoma" w:hAnsi="Tahoma"/>
            <w:sz w:val="20"/>
            <w:szCs w:val="20"/>
          </w:rPr>
          <w:t>’</w:t>
        </w:r>
        <w:r w:rsidRPr="00C54022">
          <w:rPr>
            <w:rStyle w:val="Hyperlink"/>
            <w:rFonts w:ascii="Tahoma" w:hAnsi="Tahoma"/>
            <w:sz w:val="20"/>
            <w:szCs w:val="20"/>
          </w:rPr>
          <w:t>AECG</w:t>
        </w:r>
      </w:hyperlink>
      <w:r w:rsidRPr="00C54022">
        <w:rPr>
          <w:rFonts w:ascii="Tahoma" w:hAnsi="Tahoma"/>
          <w:sz w:val="20"/>
          <w:szCs w:val="20"/>
        </w:rPr>
        <w:t xml:space="preserve"> a été publiée dans toutes les langues officielles sur le site de la CE. Le gouvernement canadien met en avant l</w:t>
      </w:r>
      <w:r w:rsidR="00C54022">
        <w:rPr>
          <w:rFonts w:ascii="Tahoma" w:hAnsi="Tahoma"/>
          <w:sz w:val="20"/>
          <w:szCs w:val="20"/>
        </w:rPr>
        <w:t>’</w:t>
      </w:r>
      <w:r w:rsidRPr="00C54022">
        <w:rPr>
          <w:rFonts w:ascii="Tahoma" w:hAnsi="Tahoma"/>
          <w:sz w:val="20"/>
          <w:szCs w:val="20"/>
        </w:rPr>
        <w:t xml:space="preserve">AECG, mais il est beaucoup plus ouvert aux réunions et consultations avec les syndicats que le gouvernement précédent. Au Canada, le processus de ratification devrait être rapide, car la Constitution canadienne donne au gouvernement fédéral compétence exclusive en matière de réglementation des échanges et du commerce. </w:t>
      </w:r>
    </w:p>
    <w:p w14:paraId="2992C8DE" w14:textId="77777777" w:rsidR="00D61F3B" w:rsidRPr="00C54022" w:rsidRDefault="00D61F3B" w:rsidP="00596913">
      <w:pPr>
        <w:rPr>
          <w:rFonts w:ascii="Tahoma" w:hAnsi="Tahoma" w:cs="Tahoma"/>
          <w:sz w:val="20"/>
          <w:szCs w:val="20"/>
        </w:rPr>
      </w:pPr>
    </w:p>
    <w:p w14:paraId="7F30A8AA" w14:textId="6E69A4A7" w:rsidR="00D61F3B" w:rsidRPr="00C54022" w:rsidRDefault="00D61F3B" w:rsidP="00596913">
      <w:pPr>
        <w:rPr>
          <w:rFonts w:ascii="Tahoma" w:hAnsi="Tahoma" w:cs="Tahoma"/>
          <w:sz w:val="20"/>
          <w:szCs w:val="20"/>
        </w:rPr>
      </w:pPr>
      <w:r w:rsidRPr="00C54022">
        <w:rPr>
          <w:rFonts w:ascii="Tahoma" w:hAnsi="Tahoma"/>
          <w:sz w:val="20"/>
          <w:szCs w:val="20"/>
        </w:rPr>
        <w:t>L</w:t>
      </w:r>
      <w:r w:rsidR="00C54022">
        <w:rPr>
          <w:rFonts w:ascii="Tahoma" w:hAnsi="Tahoma"/>
          <w:sz w:val="20"/>
          <w:szCs w:val="20"/>
        </w:rPr>
        <w:t>’</w:t>
      </w:r>
      <w:r w:rsidRPr="00C54022">
        <w:rPr>
          <w:rFonts w:ascii="Tahoma" w:hAnsi="Tahoma"/>
          <w:sz w:val="20"/>
          <w:szCs w:val="20"/>
        </w:rPr>
        <w:t>accord AECG sert de modèle aux négociations plus controversées du TTIP (Partenariat transatlantique de commerce et d</w:t>
      </w:r>
      <w:r w:rsidR="00C54022">
        <w:rPr>
          <w:rFonts w:ascii="Tahoma" w:hAnsi="Tahoma"/>
          <w:sz w:val="20"/>
          <w:szCs w:val="20"/>
        </w:rPr>
        <w:t>’</w:t>
      </w:r>
      <w:r w:rsidRPr="00C54022">
        <w:rPr>
          <w:rFonts w:ascii="Tahoma" w:hAnsi="Tahoma"/>
          <w:sz w:val="20"/>
          <w:szCs w:val="20"/>
        </w:rPr>
        <w:t>investissement). De fait, l</w:t>
      </w:r>
      <w:r w:rsidR="00C54022">
        <w:rPr>
          <w:rFonts w:ascii="Tahoma" w:hAnsi="Tahoma"/>
          <w:sz w:val="20"/>
          <w:szCs w:val="20"/>
        </w:rPr>
        <w:t>’</w:t>
      </w:r>
      <w:r w:rsidRPr="00C54022">
        <w:rPr>
          <w:rFonts w:ascii="Tahoma" w:hAnsi="Tahoma"/>
          <w:sz w:val="20"/>
          <w:szCs w:val="20"/>
        </w:rPr>
        <w:t>AECG est un banc d</w:t>
      </w:r>
      <w:r w:rsidR="00C54022">
        <w:rPr>
          <w:rFonts w:ascii="Tahoma" w:hAnsi="Tahoma"/>
          <w:sz w:val="20"/>
          <w:szCs w:val="20"/>
        </w:rPr>
        <w:t>’</w:t>
      </w:r>
      <w:r w:rsidRPr="00C54022">
        <w:rPr>
          <w:rFonts w:ascii="Tahoma" w:hAnsi="Tahoma"/>
          <w:sz w:val="20"/>
          <w:szCs w:val="20"/>
        </w:rPr>
        <w:t>essai pour d</w:t>
      </w:r>
      <w:r w:rsidR="00C54022">
        <w:rPr>
          <w:rFonts w:ascii="Tahoma" w:hAnsi="Tahoma"/>
          <w:sz w:val="20"/>
          <w:szCs w:val="20"/>
        </w:rPr>
        <w:t>’</w:t>
      </w:r>
      <w:r w:rsidRPr="00C54022">
        <w:rPr>
          <w:rFonts w:ascii="Tahoma" w:hAnsi="Tahoma"/>
          <w:sz w:val="20"/>
          <w:szCs w:val="20"/>
        </w:rPr>
        <w:t xml:space="preserve">autres accords commerciaux similaires, notamment le TTIP, en cours de négociation. Dès lors, il sera difficile </w:t>
      </w:r>
      <w:r w:rsidRPr="00C54022">
        <w:rPr>
          <w:rFonts w:ascii="Tahoma" w:hAnsi="Tahoma"/>
          <w:sz w:val="20"/>
          <w:szCs w:val="20"/>
        </w:rPr>
        <w:lastRenderedPageBreak/>
        <w:t>de s</w:t>
      </w:r>
      <w:r w:rsidR="00C54022">
        <w:rPr>
          <w:rFonts w:ascii="Tahoma" w:hAnsi="Tahoma"/>
          <w:sz w:val="20"/>
          <w:szCs w:val="20"/>
        </w:rPr>
        <w:t>’</w:t>
      </w:r>
      <w:r w:rsidRPr="00C54022">
        <w:rPr>
          <w:rFonts w:ascii="Tahoma" w:hAnsi="Tahoma"/>
          <w:sz w:val="20"/>
          <w:szCs w:val="20"/>
        </w:rPr>
        <w:t>opposer au TTIP et à d</w:t>
      </w:r>
      <w:r w:rsidR="00C54022">
        <w:rPr>
          <w:rFonts w:ascii="Tahoma" w:hAnsi="Tahoma"/>
          <w:sz w:val="20"/>
          <w:szCs w:val="20"/>
        </w:rPr>
        <w:t>’</w:t>
      </w:r>
      <w:r w:rsidRPr="00C54022">
        <w:rPr>
          <w:rFonts w:ascii="Tahoma" w:hAnsi="Tahoma"/>
          <w:sz w:val="20"/>
          <w:szCs w:val="20"/>
        </w:rPr>
        <w:t>autres accords de même type si l</w:t>
      </w:r>
      <w:r w:rsidR="00C54022">
        <w:rPr>
          <w:rFonts w:ascii="Tahoma" w:hAnsi="Tahoma"/>
          <w:sz w:val="20"/>
          <w:szCs w:val="20"/>
        </w:rPr>
        <w:t>’</w:t>
      </w:r>
      <w:r w:rsidRPr="00C54022">
        <w:rPr>
          <w:rFonts w:ascii="Tahoma" w:hAnsi="Tahoma"/>
          <w:sz w:val="20"/>
          <w:szCs w:val="20"/>
        </w:rPr>
        <w:t>AECG est ratifié. L</w:t>
      </w:r>
      <w:r w:rsidR="00C54022">
        <w:rPr>
          <w:rFonts w:ascii="Tahoma" w:hAnsi="Tahoma"/>
          <w:sz w:val="20"/>
          <w:szCs w:val="20"/>
        </w:rPr>
        <w:t>’</w:t>
      </w:r>
      <w:r w:rsidRPr="00C54022">
        <w:rPr>
          <w:rFonts w:ascii="Tahoma" w:hAnsi="Tahoma"/>
          <w:sz w:val="20"/>
          <w:szCs w:val="20"/>
        </w:rPr>
        <w:t>AECG comprend d</w:t>
      </w:r>
      <w:r w:rsidR="00C54022">
        <w:rPr>
          <w:rFonts w:ascii="Tahoma" w:hAnsi="Tahoma"/>
          <w:sz w:val="20"/>
          <w:szCs w:val="20"/>
        </w:rPr>
        <w:t>’</w:t>
      </w:r>
      <w:r w:rsidRPr="00C54022">
        <w:rPr>
          <w:rFonts w:ascii="Tahoma" w:hAnsi="Tahoma"/>
          <w:sz w:val="20"/>
          <w:szCs w:val="20"/>
        </w:rPr>
        <w:t>ailleurs un certain nombre de questions préoccupantes, de manière générale, et concernant la prestation de services publics, notamment l</w:t>
      </w:r>
      <w:r w:rsidR="00C54022">
        <w:rPr>
          <w:rFonts w:ascii="Tahoma" w:hAnsi="Tahoma"/>
          <w:sz w:val="20"/>
          <w:szCs w:val="20"/>
        </w:rPr>
        <w:t>’</w:t>
      </w:r>
      <w:r w:rsidRPr="00C54022">
        <w:rPr>
          <w:rFonts w:ascii="Tahoma" w:hAnsi="Tahoma"/>
          <w:sz w:val="20"/>
          <w:szCs w:val="20"/>
        </w:rPr>
        <w:t>éducation, en particulier. L</w:t>
      </w:r>
      <w:r w:rsidR="00C54022">
        <w:rPr>
          <w:rFonts w:ascii="Tahoma" w:hAnsi="Tahoma"/>
          <w:sz w:val="20"/>
          <w:szCs w:val="20"/>
        </w:rPr>
        <w:t>’</w:t>
      </w:r>
      <w:r w:rsidRPr="00C54022">
        <w:rPr>
          <w:rFonts w:ascii="Tahoma" w:hAnsi="Tahoma"/>
          <w:sz w:val="20"/>
          <w:szCs w:val="20"/>
        </w:rPr>
        <w:t>AECG comprend, entre autres choses, le RDIE (règlement des différends entre investisseurs et États), mécanisme controversé mais qui a été réformé et rebaptisé sous le nom de système juridictionnel des investissements, des clauses de « statu quo » et « à effet de cliquet » qui verrouillent les niveaux actuels de libéralisation, de nouvelles restrictions en matière de mesures réglementaires et de nouvelles règles relatives aux marchés publics. Les services constituent une part importante de l</w:t>
      </w:r>
      <w:r w:rsidR="00C54022">
        <w:rPr>
          <w:rFonts w:ascii="Tahoma" w:hAnsi="Tahoma"/>
          <w:sz w:val="20"/>
          <w:szCs w:val="20"/>
        </w:rPr>
        <w:t>’</w:t>
      </w:r>
      <w:r w:rsidRPr="00C54022">
        <w:rPr>
          <w:rFonts w:ascii="Tahoma" w:hAnsi="Tahoma"/>
          <w:sz w:val="20"/>
          <w:szCs w:val="20"/>
        </w:rPr>
        <w:t>AECG et cette partie de l</w:t>
      </w:r>
      <w:r w:rsidR="00C54022">
        <w:rPr>
          <w:rFonts w:ascii="Tahoma" w:hAnsi="Tahoma"/>
          <w:sz w:val="20"/>
          <w:szCs w:val="20"/>
        </w:rPr>
        <w:t>’</w:t>
      </w:r>
      <w:r w:rsidRPr="00C54022">
        <w:rPr>
          <w:rFonts w:ascii="Tahoma" w:hAnsi="Tahoma"/>
          <w:sz w:val="20"/>
          <w:szCs w:val="20"/>
        </w:rPr>
        <w:t>accord a nécessité de longues négociations. L</w:t>
      </w:r>
      <w:r w:rsidR="00C54022">
        <w:rPr>
          <w:rFonts w:ascii="Tahoma" w:hAnsi="Tahoma"/>
          <w:sz w:val="20"/>
          <w:szCs w:val="20"/>
        </w:rPr>
        <w:t>’</w:t>
      </w:r>
      <w:r w:rsidRPr="00C54022">
        <w:rPr>
          <w:rFonts w:ascii="Tahoma" w:hAnsi="Tahoma"/>
          <w:sz w:val="20"/>
          <w:szCs w:val="20"/>
        </w:rPr>
        <w:t>UE a pris d</w:t>
      </w:r>
      <w:r w:rsidR="00C54022">
        <w:rPr>
          <w:rFonts w:ascii="Tahoma" w:hAnsi="Tahoma"/>
          <w:sz w:val="20"/>
          <w:szCs w:val="20"/>
        </w:rPr>
        <w:t>’</w:t>
      </w:r>
      <w:r w:rsidRPr="00C54022">
        <w:rPr>
          <w:rFonts w:ascii="Tahoma" w:hAnsi="Tahoma"/>
          <w:sz w:val="20"/>
          <w:szCs w:val="20"/>
        </w:rPr>
        <w:t>importants engagements concernant les services de l</w:t>
      </w:r>
      <w:r w:rsidR="00C54022">
        <w:rPr>
          <w:rFonts w:ascii="Tahoma" w:hAnsi="Tahoma"/>
          <w:sz w:val="20"/>
          <w:szCs w:val="20"/>
        </w:rPr>
        <w:t>’</w:t>
      </w:r>
      <w:r w:rsidRPr="00C54022">
        <w:rPr>
          <w:rFonts w:ascii="Tahoma" w:hAnsi="Tahoma"/>
          <w:sz w:val="20"/>
          <w:szCs w:val="20"/>
        </w:rPr>
        <w:t>éducation financés par des fonds privés, même si les engagements varient légèrement entre États membres en raison des exclusions adoptées dans les services éducatifs privés. Dès lors, l</w:t>
      </w:r>
      <w:r w:rsidR="00C54022">
        <w:rPr>
          <w:rFonts w:ascii="Tahoma" w:hAnsi="Tahoma"/>
          <w:sz w:val="20"/>
          <w:szCs w:val="20"/>
        </w:rPr>
        <w:t>’</w:t>
      </w:r>
      <w:r w:rsidRPr="00C54022">
        <w:rPr>
          <w:rFonts w:ascii="Tahoma" w:hAnsi="Tahoma"/>
          <w:sz w:val="20"/>
          <w:szCs w:val="20"/>
        </w:rPr>
        <w:t>UE et ses États membres ouvrent en effet la porte à des prestataires étrangers ayant des objectifs lucratifs dans le domaine de l</w:t>
      </w:r>
      <w:r w:rsidR="00C54022">
        <w:rPr>
          <w:rFonts w:ascii="Tahoma" w:hAnsi="Tahoma"/>
          <w:sz w:val="20"/>
          <w:szCs w:val="20"/>
        </w:rPr>
        <w:t>’</w:t>
      </w:r>
      <w:r w:rsidRPr="00C54022">
        <w:rPr>
          <w:rFonts w:ascii="Tahoma" w:hAnsi="Tahoma"/>
          <w:sz w:val="20"/>
          <w:szCs w:val="20"/>
        </w:rPr>
        <w:t>éducation et donnent de nouveaux droits aux investisseurs privés qui dépassent tous les engagements commerciaux existants. L</w:t>
      </w:r>
      <w:r w:rsidR="00C54022">
        <w:rPr>
          <w:rFonts w:ascii="Tahoma" w:hAnsi="Tahoma"/>
          <w:sz w:val="20"/>
          <w:szCs w:val="20"/>
        </w:rPr>
        <w:t>’</w:t>
      </w:r>
      <w:r w:rsidRPr="00C54022">
        <w:rPr>
          <w:rFonts w:ascii="Tahoma" w:hAnsi="Tahoma"/>
          <w:sz w:val="20"/>
          <w:szCs w:val="20"/>
        </w:rPr>
        <w:t>intégration des services éducatifs privés dans les accords commerciaux pose un autre problème lié à la nature mixte publique et privée de la majorité des systèmes éducatifs. En outre, il n</w:t>
      </w:r>
      <w:r w:rsidR="00C54022">
        <w:rPr>
          <w:rFonts w:ascii="Tahoma" w:hAnsi="Tahoma"/>
          <w:sz w:val="20"/>
          <w:szCs w:val="20"/>
        </w:rPr>
        <w:t>’</w:t>
      </w:r>
      <w:r w:rsidRPr="00C54022">
        <w:rPr>
          <w:rFonts w:ascii="Tahoma" w:hAnsi="Tahoma"/>
          <w:sz w:val="20"/>
          <w:szCs w:val="20"/>
        </w:rPr>
        <w:t>y a pas une seule référence à une quelconque exception au champ d</w:t>
      </w:r>
      <w:r w:rsidR="00C54022">
        <w:rPr>
          <w:rFonts w:ascii="Tahoma" w:hAnsi="Tahoma"/>
          <w:sz w:val="20"/>
          <w:szCs w:val="20"/>
        </w:rPr>
        <w:t>’</w:t>
      </w:r>
      <w:r w:rsidRPr="00C54022">
        <w:rPr>
          <w:rFonts w:ascii="Tahoma" w:hAnsi="Tahoma"/>
          <w:sz w:val="20"/>
          <w:szCs w:val="20"/>
        </w:rPr>
        <w:t>application de cet accord pour les services publics ou les services d</w:t>
      </w:r>
      <w:r w:rsidR="00C54022">
        <w:rPr>
          <w:rFonts w:ascii="Tahoma" w:hAnsi="Tahoma"/>
          <w:sz w:val="20"/>
          <w:szCs w:val="20"/>
        </w:rPr>
        <w:t>’</w:t>
      </w:r>
      <w:r w:rsidRPr="00C54022">
        <w:rPr>
          <w:rFonts w:ascii="Tahoma" w:hAnsi="Tahoma"/>
          <w:sz w:val="20"/>
          <w:szCs w:val="20"/>
        </w:rPr>
        <w:t>intérêt général, sauf ceux qui sont sous autorité gouvernementale, ce qui est nettement insuffisant pour protéger l</w:t>
      </w:r>
      <w:r w:rsidR="00C54022">
        <w:rPr>
          <w:rFonts w:ascii="Tahoma" w:hAnsi="Tahoma"/>
          <w:sz w:val="20"/>
          <w:szCs w:val="20"/>
        </w:rPr>
        <w:t>’</w:t>
      </w:r>
      <w:r w:rsidRPr="00C54022">
        <w:rPr>
          <w:rFonts w:ascii="Tahoma" w:hAnsi="Tahoma"/>
          <w:sz w:val="20"/>
          <w:szCs w:val="20"/>
        </w:rPr>
        <w:t>enseignement public. L</w:t>
      </w:r>
      <w:r w:rsidR="00C54022">
        <w:rPr>
          <w:rFonts w:ascii="Tahoma" w:hAnsi="Tahoma"/>
          <w:sz w:val="20"/>
          <w:szCs w:val="20"/>
        </w:rPr>
        <w:t>’</w:t>
      </w:r>
      <w:r w:rsidRPr="00C54022">
        <w:rPr>
          <w:rFonts w:ascii="Tahoma" w:hAnsi="Tahoma"/>
          <w:sz w:val="20"/>
          <w:szCs w:val="20"/>
        </w:rPr>
        <w:t>AECG menace donc de bloquer et d</w:t>
      </w:r>
      <w:r w:rsidR="00C54022">
        <w:rPr>
          <w:rFonts w:ascii="Tahoma" w:hAnsi="Tahoma"/>
          <w:sz w:val="20"/>
          <w:szCs w:val="20"/>
        </w:rPr>
        <w:t>’</w:t>
      </w:r>
      <w:r w:rsidRPr="00C54022">
        <w:rPr>
          <w:rFonts w:ascii="Tahoma" w:hAnsi="Tahoma"/>
          <w:sz w:val="20"/>
          <w:szCs w:val="20"/>
        </w:rPr>
        <w:t>intensifier les pressions en faveur de la privatisation et de la commercialisation de l</w:t>
      </w:r>
      <w:r w:rsidR="00C54022">
        <w:rPr>
          <w:rFonts w:ascii="Tahoma" w:hAnsi="Tahoma"/>
          <w:sz w:val="20"/>
          <w:szCs w:val="20"/>
        </w:rPr>
        <w:t>’</w:t>
      </w:r>
      <w:r w:rsidRPr="00C54022">
        <w:rPr>
          <w:rFonts w:ascii="Tahoma" w:hAnsi="Tahoma"/>
          <w:sz w:val="20"/>
          <w:szCs w:val="20"/>
        </w:rPr>
        <w:t xml:space="preserve">éducation.    </w:t>
      </w:r>
    </w:p>
    <w:p w14:paraId="42E5D58D" w14:textId="761D3673" w:rsidR="00D61F3B" w:rsidRPr="00C54022" w:rsidRDefault="00D61F3B" w:rsidP="00596913">
      <w:pPr>
        <w:rPr>
          <w:rFonts w:ascii="Tahoma" w:hAnsi="Tahoma" w:cs="Tahoma"/>
          <w:sz w:val="20"/>
          <w:szCs w:val="20"/>
        </w:rPr>
      </w:pPr>
    </w:p>
    <w:p w14:paraId="0E7A809F" w14:textId="43701B55" w:rsidR="00D61F3B" w:rsidRPr="00C54022" w:rsidRDefault="00D61F3B" w:rsidP="00596913">
      <w:pPr>
        <w:rPr>
          <w:rFonts w:ascii="Tahoma" w:hAnsi="Tahoma" w:cs="Tahoma"/>
          <w:sz w:val="20"/>
          <w:szCs w:val="20"/>
        </w:rPr>
      </w:pPr>
      <w:r w:rsidRPr="00C54022">
        <w:rPr>
          <w:rFonts w:ascii="Tahoma" w:hAnsi="Tahoma"/>
          <w:sz w:val="20"/>
          <w:szCs w:val="20"/>
        </w:rPr>
        <w:t xml:space="preserve">Le PE a adopté ses </w:t>
      </w:r>
      <w:hyperlink r:id="rId14" w:history="1">
        <w:r w:rsidRPr="00C54022">
          <w:rPr>
            <w:rStyle w:val="Hyperlink"/>
            <w:rFonts w:ascii="Tahoma" w:hAnsi="Tahoma"/>
            <w:sz w:val="20"/>
            <w:szCs w:val="20"/>
          </w:rPr>
          <w:t>recommandations</w:t>
        </w:r>
      </w:hyperlink>
      <w:r w:rsidRPr="00C54022">
        <w:rPr>
          <w:rStyle w:val="Hyperlink"/>
          <w:rFonts w:ascii="Tahoma" w:hAnsi="Tahoma"/>
          <w:sz w:val="20"/>
          <w:szCs w:val="20"/>
        </w:rPr>
        <w:t xml:space="preserve"> sur l</w:t>
      </w:r>
      <w:r w:rsidR="00C54022">
        <w:rPr>
          <w:rStyle w:val="Hyperlink"/>
          <w:rFonts w:ascii="Tahoma" w:hAnsi="Tahoma"/>
          <w:sz w:val="20"/>
          <w:szCs w:val="20"/>
        </w:rPr>
        <w:t>’</w:t>
      </w:r>
      <w:r w:rsidRPr="00C54022">
        <w:rPr>
          <w:rStyle w:val="Hyperlink"/>
          <w:rFonts w:ascii="Tahoma" w:hAnsi="Tahoma"/>
          <w:sz w:val="20"/>
          <w:szCs w:val="20"/>
        </w:rPr>
        <w:t>AECG</w:t>
      </w:r>
      <w:r w:rsidRPr="00C54022">
        <w:rPr>
          <w:rFonts w:ascii="Tahoma" w:hAnsi="Tahoma"/>
          <w:sz w:val="20"/>
          <w:szCs w:val="20"/>
        </w:rPr>
        <w:t xml:space="preserve"> en 2011, en appelant à la mise en place d</w:t>
      </w:r>
      <w:r w:rsidR="00C54022">
        <w:rPr>
          <w:rFonts w:ascii="Tahoma" w:hAnsi="Tahoma"/>
          <w:sz w:val="20"/>
          <w:szCs w:val="20"/>
        </w:rPr>
        <w:t>’</w:t>
      </w:r>
      <w:r w:rsidRPr="00C54022">
        <w:rPr>
          <w:rFonts w:ascii="Tahoma" w:hAnsi="Tahoma"/>
          <w:sz w:val="20"/>
          <w:szCs w:val="20"/>
        </w:rPr>
        <w:t>un mécanisme de règlement des différends d</w:t>
      </w:r>
      <w:r w:rsidR="00C54022">
        <w:rPr>
          <w:rFonts w:ascii="Tahoma" w:hAnsi="Tahoma"/>
          <w:sz w:val="20"/>
          <w:szCs w:val="20"/>
        </w:rPr>
        <w:t>’</w:t>
      </w:r>
      <w:r w:rsidRPr="00C54022">
        <w:rPr>
          <w:rFonts w:ascii="Tahoma" w:hAnsi="Tahoma"/>
          <w:sz w:val="20"/>
          <w:szCs w:val="20"/>
        </w:rPr>
        <w:t>État à État et à la possibilité de recours devant des juridictions locales pour régler des différents relatifs aux investissements, compte tenu des systèmes judiciaires très développés qui existent au Canada et dans l</w:t>
      </w:r>
      <w:r w:rsidR="00C54022">
        <w:rPr>
          <w:rFonts w:ascii="Tahoma" w:hAnsi="Tahoma"/>
          <w:sz w:val="20"/>
          <w:szCs w:val="20"/>
        </w:rPr>
        <w:t>’</w:t>
      </w:r>
      <w:r w:rsidRPr="00C54022">
        <w:rPr>
          <w:rFonts w:ascii="Tahoma" w:hAnsi="Tahoma"/>
          <w:sz w:val="20"/>
          <w:szCs w:val="20"/>
        </w:rPr>
        <w:t>UE.</w:t>
      </w:r>
      <w:r w:rsidR="004F6C6D">
        <w:rPr>
          <w:rFonts w:ascii="Tahoma" w:hAnsi="Tahoma"/>
          <w:sz w:val="20"/>
          <w:szCs w:val="20"/>
        </w:rPr>
        <w:t xml:space="preserve"> </w:t>
      </w:r>
      <w:r w:rsidRPr="00C54022">
        <w:t xml:space="preserve">Une </w:t>
      </w:r>
      <w:hyperlink r:id="rId15" w:history="1">
        <w:r w:rsidRPr="00C54022">
          <w:rPr>
            <w:rStyle w:val="Hyperlink"/>
            <w:rFonts w:ascii="Tahoma" w:hAnsi="Tahoma"/>
            <w:sz w:val="20"/>
            <w:szCs w:val="20"/>
          </w:rPr>
          <w:t>étude</w:t>
        </w:r>
      </w:hyperlink>
      <w:r w:rsidRPr="00C54022">
        <w:rPr>
          <w:rFonts w:ascii="Tahoma" w:hAnsi="Tahoma"/>
          <w:sz w:val="20"/>
          <w:szCs w:val="20"/>
        </w:rPr>
        <w:t xml:space="preserve"> comparant l</w:t>
      </w:r>
      <w:r w:rsidR="00C54022">
        <w:rPr>
          <w:rFonts w:ascii="Tahoma" w:hAnsi="Tahoma"/>
          <w:sz w:val="20"/>
          <w:szCs w:val="20"/>
        </w:rPr>
        <w:t>’</w:t>
      </w:r>
      <w:r w:rsidRPr="00C54022">
        <w:rPr>
          <w:rFonts w:ascii="Tahoma" w:hAnsi="Tahoma"/>
          <w:sz w:val="20"/>
          <w:szCs w:val="20"/>
        </w:rPr>
        <w:t>AECG et les recommandations du PE concernant le TTIP démontre que l</w:t>
      </w:r>
      <w:r w:rsidR="00C54022">
        <w:rPr>
          <w:rFonts w:ascii="Tahoma" w:hAnsi="Tahoma"/>
          <w:sz w:val="20"/>
          <w:szCs w:val="20"/>
        </w:rPr>
        <w:t>’</w:t>
      </w:r>
      <w:r w:rsidRPr="00C54022">
        <w:rPr>
          <w:rFonts w:ascii="Tahoma" w:hAnsi="Tahoma"/>
          <w:sz w:val="20"/>
          <w:szCs w:val="20"/>
        </w:rPr>
        <w:t>AECG s</w:t>
      </w:r>
      <w:r w:rsidR="00C54022">
        <w:rPr>
          <w:rFonts w:ascii="Tahoma" w:hAnsi="Tahoma"/>
          <w:sz w:val="20"/>
          <w:szCs w:val="20"/>
        </w:rPr>
        <w:t>’</w:t>
      </w:r>
      <w:r w:rsidRPr="00C54022">
        <w:rPr>
          <w:rFonts w:ascii="Tahoma" w:hAnsi="Tahoma"/>
          <w:sz w:val="20"/>
          <w:szCs w:val="20"/>
        </w:rPr>
        <w:t>écarte considérablement des recommandations du PE relatives au TTIP. Le PE est dans l</w:t>
      </w:r>
      <w:r w:rsidR="00C54022">
        <w:rPr>
          <w:rFonts w:ascii="Tahoma" w:hAnsi="Tahoma"/>
          <w:sz w:val="20"/>
          <w:szCs w:val="20"/>
        </w:rPr>
        <w:t>’</w:t>
      </w:r>
      <w:r w:rsidRPr="00C54022">
        <w:rPr>
          <w:rFonts w:ascii="Tahoma" w:hAnsi="Tahoma"/>
          <w:sz w:val="20"/>
          <w:szCs w:val="20"/>
        </w:rPr>
        <w:t>attente de l</w:t>
      </w:r>
      <w:r w:rsidR="00C54022">
        <w:rPr>
          <w:rFonts w:ascii="Tahoma" w:hAnsi="Tahoma"/>
          <w:sz w:val="20"/>
          <w:szCs w:val="20"/>
        </w:rPr>
        <w:t>’</w:t>
      </w:r>
      <w:r w:rsidRPr="00C54022">
        <w:rPr>
          <w:rFonts w:ascii="Tahoma" w:hAnsi="Tahoma"/>
          <w:sz w:val="20"/>
          <w:szCs w:val="20"/>
        </w:rPr>
        <w:t>approbation de l</w:t>
      </w:r>
      <w:r w:rsidR="00C54022">
        <w:rPr>
          <w:rFonts w:ascii="Tahoma" w:hAnsi="Tahoma"/>
          <w:sz w:val="20"/>
          <w:szCs w:val="20"/>
        </w:rPr>
        <w:t>’</w:t>
      </w:r>
      <w:r w:rsidRPr="00C54022">
        <w:rPr>
          <w:rFonts w:ascii="Tahoma" w:hAnsi="Tahoma"/>
          <w:sz w:val="20"/>
          <w:szCs w:val="20"/>
        </w:rPr>
        <w:t>AECG par le Conseil avant d</w:t>
      </w:r>
      <w:r w:rsidR="00C54022">
        <w:rPr>
          <w:rFonts w:ascii="Tahoma" w:hAnsi="Tahoma"/>
          <w:sz w:val="20"/>
          <w:szCs w:val="20"/>
        </w:rPr>
        <w:t>’</w:t>
      </w:r>
      <w:r w:rsidRPr="00C54022">
        <w:rPr>
          <w:rFonts w:ascii="Tahoma" w:hAnsi="Tahoma"/>
          <w:sz w:val="20"/>
          <w:szCs w:val="20"/>
        </w:rPr>
        <w:t>enclencher sa propre procédure. Le débat du PE relatif à l</w:t>
      </w:r>
      <w:r w:rsidR="00C54022">
        <w:rPr>
          <w:rFonts w:ascii="Tahoma" w:hAnsi="Tahoma"/>
          <w:sz w:val="20"/>
          <w:szCs w:val="20"/>
        </w:rPr>
        <w:t>’</w:t>
      </w:r>
      <w:r w:rsidRPr="00C54022">
        <w:rPr>
          <w:rFonts w:ascii="Tahoma" w:hAnsi="Tahoma"/>
          <w:sz w:val="20"/>
          <w:szCs w:val="20"/>
        </w:rPr>
        <w:t>AECG pourrait commencer dès cet automne, avec un vote possible au début de l</w:t>
      </w:r>
      <w:r w:rsidR="00C54022">
        <w:rPr>
          <w:rFonts w:ascii="Tahoma" w:hAnsi="Tahoma"/>
          <w:sz w:val="20"/>
          <w:szCs w:val="20"/>
        </w:rPr>
        <w:t>’</w:t>
      </w:r>
      <w:r w:rsidRPr="00C54022">
        <w:rPr>
          <w:rFonts w:ascii="Tahoma" w:hAnsi="Tahoma"/>
          <w:sz w:val="20"/>
          <w:szCs w:val="20"/>
        </w:rPr>
        <w:t>année 2017.</w:t>
      </w:r>
    </w:p>
    <w:p w14:paraId="6A609231" w14:textId="77777777" w:rsidR="00806CA2" w:rsidRPr="00C54022" w:rsidRDefault="00806CA2" w:rsidP="00596913">
      <w:pPr>
        <w:shd w:val="clear" w:color="auto" w:fill="FFFFFF"/>
        <w:rPr>
          <w:rFonts w:ascii="Tahoma" w:hAnsi="Tahoma" w:cs="Tahoma"/>
          <w:color w:val="000000"/>
          <w:sz w:val="20"/>
          <w:szCs w:val="20"/>
          <w:lang w:eastAsia="en-GB" w:bidi="ar-SA"/>
        </w:rPr>
      </w:pPr>
    </w:p>
    <w:p w14:paraId="15D55C03" w14:textId="1106A628" w:rsidR="00217E53" w:rsidRPr="00C54022" w:rsidRDefault="00496CE4" w:rsidP="00596913">
      <w:pPr>
        <w:pStyle w:val="ListParagraph"/>
        <w:numPr>
          <w:ilvl w:val="0"/>
          <w:numId w:val="34"/>
        </w:numPr>
        <w:rPr>
          <w:rFonts w:ascii="Tahoma" w:hAnsi="Tahoma" w:cs="Tahoma"/>
          <w:b/>
          <w:sz w:val="20"/>
          <w:szCs w:val="20"/>
        </w:rPr>
      </w:pPr>
      <w:r w:rsidRPr="00C54022">
        <w:rPr>
          <w:rFonts w:ascii="Tahoma" w:hAnsi="Tahoma"/>
          <w:b/>
          <w:sz w:val="20"/>
          <w:szCs w:val="20"/>
        </w:rPr>
        <w:t>L</w:t>
      </w:r>
      <w:r w:rsidR="00C54022">
        <w:rPr>
          <w:rFonts w:ascii="Tahoma" w:hAnsi="Tahoma"/>
          <w:b/>
          <w:sz w:val="20"/>
          <w:szCs w:val="20"/>
        </w:rPr>
        <w:t>’</w:t>
      </w:r>
      <w:r w:rsidRPr="00C54022">
        <w:rPr>
          <w:rFonts w:ascii="Tahoma" w:hAnsi="Tahoma"/>
          <w:b/>
          <w:sz w:val="20"/>
          <w:szCs w:val="20"/>
        </w:rPr>
        <w:t xml:space="preserve">Accord sur le commerce des services (ACS) </w:t>
      </w:r>
    </w:p>
    <w:p w14:paraId="35379C62" w14:textId="77777777" w:rsidR="00806CA2" w:rsidRPr="00C54022" w:rsidRDefault="00806CA2" w:rsidP="00596913">
      <w:pPr>
        <w:pStyle w:val="ListParagraph"/>
        <w:ind w:left="360"/>
        <w:rPr>
          <w:rFonts w:ascii="Tahoma" w:hAnsi="Tahoma" w:cs="Tahoma"/>
          <w:b/>
          <w:sz w:val="20"/>
          <w:szCs w:val="20"/>
        </w:rPr>
      </w:pPr>
    </w:p>
    <w:p w14:paraId="31772568" w14:textId="621CA60A" w:rsidR="00512E66" w:rsidRPr="00C54022" w:rsidRDefault="00496CE4" w:rsidP="00596913">
      <w:pPr>
        <w:rPr>
          <w:rFonts w:ascii="Tahoma" w:hAnsi="Tahoma" w:cs="Tahoma"/>
          <w:sz w:val="20"/>
          <w:szCs w:val="20"/>
        </w:rPr>
      </w:pPr>
      <w:r w:rsidRPr="00C54022">
        <w:rPr>
          <w:rFonts w:ascii="Tahoma" w:hAnsi="Tahoma"/>
          <w:sz w:val="20"/>
          <w:szCs w:val="20"/>
        </w:rPr>
        <w:t>Les négociations sur l</w:t>
      </w:r>
      <w:r w:rsidR="00C54022">
        <w:rPr>
          <w:rFonts w:ascii="Tahoma" w:hAnsi="Tahoma"/>
          <w:sz w:val="20"/>
          <w:szCs w:val="20"/>
        </w:rPr>
        <w:t>’</w:t>
      </w:r>
      <w:r w:rsidRPr="00C54022">
        <w:rPr>
          <w:rFonts w:ascii="Tahoma" w:hAnsi="Tahoma"/>
          <w:sz w:val="20"/>
          <w:szCs w:val="20"/>
        </w:rPr>
        <w:t>Accord sur le commerce des services (ACS) ont été proposées par les États-Unis et l</w:t>
      </w:r>
      <w:r w:rsidR="00C54022">
        <w:rPr>
          <w:rFonts w:ascii="Tahoma" w:hAnsi="Tahoma"/>
          <w:sz w:val="20"/>
          <w:szCs w:val="20"/>
        </w:rPr>
        <w:t>’</w:t>
      </w:r>
      <w:r w:rsidRPr="00C54022">
        <w:rPr>
          <w:rFonts w:ascii="Tahoma" w:hAnsi="Tahoma"/>
          <w:sz w:val="20"/>
          <w:szCs w:val="20"/>
        </w:rPr>
        <w:t>Australie, début 2012, avant de commencer en 2013. Les négociations sur l</w:t>
      </w:r>
      <w:r w:rsidR="00C54022">
        <w:rPr>
          <w:rFonts w:ascii="Tahoma" w:hAnsi="Tahoma"/>
          <w:sz w:val="20"/>
          <w:szCs w:val="20"/>
        </w:rPr>
        <w:t>’</w:t>
      </w:r>
      <w:r w:rsidRPr="00C54022">
        <w:rPr>
          <w:rFonts w:ascii="Tahoma" w:hAnsi="Tahoma"/>
          <w:sz w:val="20"/>
          <w:szCs w:val="20"/>
        </w:rPr>
        <w:t>ACS ont vu le jour en réponse à l</w:t>
      </w:r>
      <w:r w:rsidR="00C54022">
        <w:rPr>
          <w:rFonts w:ascii="Tahoma" w:hAnsi="Tahoma"/>
          <w:sz w:val="20"/>
          <w:szCs w:val="20"/>
        </w:rPr>
        <w:t>’</w:t>
      </w:r>
      <w:r w:rsidRPr="00C54022">
        <w:rPr>
          <w:rFonts w:ascii="Tahoma" w:hAnsi="Tahoma"/>
          <w:sz w:val="20"/>
          <w:szCs w:val="20"/>
        </w:rPr>
        <w:t>impasse actuelle dans les négociations de l</w:t>
      </w:r>
      <w:r w:rsidR="00C54022">
        <w:rPr>
          <w:rFonts w:ascii="Tahoma" w:hAnsi="Tahoma"/>
          <w:sz w:val="20"/>
          <w:szCs w:val="20"/>
        </w:rPr>
        <w:t>’</w:t>
      </w:r>
      <w:r w:rsidRPr="00C54022">
        <w:rPr>
          <w:rFonts w:ascii="Tahoma" w:hAnsi="Tahoma"/>
          <w:sz w:val="20"/>
          <w:szCs w:val="20"/>
        </w:rPr>
        <w:t>OMC, notamment concernant les discussions visant à étendre l</w:t>
      </w:r>
      <w:r w:rsidR="00C54022">
        <w:rPr>
          <w:rFonts w:ascii="Tahoma" w:hAnsi="Tahoma"/>
          <w:sz w:val="20"/>
          <w:szCs w:val="20"/>
        </w:rPr>
        <w:t>’</w:t>
      </w:r>
      <w:r w:rsidRPr="00C54022">
        <w:rPr>
          <w:rFonts w:ascii="Tahoma" w:hAnsi="Tahoma"/>
          <w:sz w:val="20"/>
          <w:szCs w:val="20"/>
        </w:rPr>
        <w:t>Accord général sur le commerce des services (AGCS). Les participants à la négociation se qualifient eux-mêmes de « meilleurs amis des services » et sont les plus ardents défenseurs de leur libéralisation. Vingt sessions de négociation ont déjà eu lieu. Le dernier cycle s</w:t>
      </w:r>
      <w:r w:rsidR="00C54022">
        <w:rPr>
          <w:rFonts w:ascii="Tahoma" w:hAnsi="Tahoma"/>
          <w:sz w:val="20"/>
          <w:szCs w:val="20"/>
        </w:rPr>
        <w:t>’</w:t>
      </w:r>
      <w:r w:rsidRPr="00C54022">
        <w:rPr>
          <w:rFonts w:ascii="Tahoma" w:hAnsi="Tahoma"/>
          <w:sz w:val="20"/>
          <w:szCs w:val="20"/>
        </w:rPr>
        <w:t>est déroulé la semaine du 19 septembre. La prochaine session de négociation était initialement prévue pour la semaine du 7 novembre, mais, espérant conclure ces négociations avant la fin du mandat de l</w:t>
      </w:r>
      <w:r w:rsidR="00C54022">
        <w:rPr>
          <w:rFonts w:ascii="Tahoma" w:hAnsi="Tahoma"/>
          <w:sz w:val="20"/>
          <w:szCs w:val="20"/>
        </w:rPr>
        <w:t>’</w:t>
      </w:r>
      <w:r w:rsidRPr="00C54022">
        <w:rPr>
          <w:rFonts w:ascii="Tahoma" w:hAnsi="Tahoma"/>
          <w:sz w:val="20"/>
          <w:szCs w:val="20"/>
        </w:rPr>
        <w:t>administration Obama, les parties s</w:t>
      </w:r>
      <w:r w:rsidR="00C54022">
        <w:rPr>
          <w:rFonts w:ascii="Tahoma" w:hAnsi="Tahoma"/>
          <w:sz w:val="20"/>
          <w:szCs w:val="20"/>
        </w:rPr>
        <w:t>’</w:t>
      </w:r>
      <w:r w:rsidRPr="00C54022">
        <w:rPr>
          <w:rFonts w:ascii="Tahoma" w:hAnsi="Tahoma"/>
          <w:sz w:val="20"/>
          <w:szCs w:val="20"/>
        </w:rPr>
        <w:t xml:space="preserve">efforcent </w:t>
      </w:r>
      <w:r w:rsidR="004F6C6D">
        <w:rPr>
          <w:rFonts w:ascii="Tahoma" w:hAnsi="Tahoma"/>
          <w:sz w:val="20"/>
          <w:szCs w:val="20"/>
        </w:rPr>
        <w:t>à présent</w:t>
      </w:r>
      <w:r w:rsidRPr="00C54022">
        <w:rPr>
          <w:rFonts w:ascii="Tahoma" w:hAnsi="Tahoma"/>
          <w:sz w:val="20"/>
          <w:szCs w:val="20"/>
        </w:rPr>
        <w:t xml:space="preserve"> d</w:t>
      </w:r>
      <w:r w:rsidR="00C54022">
        <w:rPr>
          <w:rFonts w:ascii="Tahoma" w:hAnsi="Tahoma"/>
          <w:sz w:val="20"/>
          <w:szCs w:val="20"/>
        </w:rPr>
        <w:t>’</w:t>
      </w:r>
      <w:r w:rsidRPr="00C54022">
        <w:rPr>
          <w:rFonts w:ascii="Tahoma" w:hAnsi="Tahoma"/>
          <w:sz w:val="20"/>
          <w:szCs w:val="20"/>
        </w:rPr>
        <w:t>aboutir à un accord d</w:t>
      </w:r>
      <w:r w:rsidR="00C54022">
        <w:rPr>
          <w:rFonts w:ascii="Tahoma" w:hAnsi="Tahoma"/>
          <w:sz w:val="20"/>
          <w:szCs w:val="20"/>
        </w:rPr>
        <w:t>’</w:t>
      </w:r>
      <w:r w:rsidRPr="00C54022">
        <w:rPr>
          <w:rFonts w:ascii="Tahoma" w:hAnsi="Tahoma"/>
          <w:sz w:val="20"/>
          <w:szCs w:val="20"/>
        </w:rPr>
        <w:t>ici les 5 et 6 décembre, avec un cycle de négociation programmé à la mi-octobre. Dans un premier temps, les négociations avaient traîné en longueur, mais selon le</w:t>
      </w:r>
      <w:r w:rsidRPr="00C54022">
        <w:t xml:space="preserve"> </w:t>
      </w:r>
      <w:hyperlink r:id="rId16" w:history="1">
        <w:r w:rsidRPr="00C54022">
          <w:rPr>
            <w:rStyle w:val="Hyperlink"/>
            <w:rFonts w:ascii="Tahoma" w:hAnsi="Tahoma"/>
            <w:sz w:val="20"/>
            <w:szCs w:val="20"/>
          </w:rPr>
          <w:t>rapport de la CE sur le 19</w:t>
        </w:r>
        <w:r w:rsidRPr="00C54022">
          <w:rPr>
            <w:rStyle w:val="Hyperlink"/>
            <w:rFonts w:ascii="Tahoma" w:hAnsi="Tahoma"/>
            <w:sz w:val="20"/>
            <w:szCs w:val="20"/>
            <w:vertAlign w:val="superscript"/>
          </w:rPr>
          <w:t>ème</w:t>
        </w:r>
        <w:r w:rsidRPr="00C54022">
          <w:rPr>
            <w:rStyle w:val="Hyperlink"/>
            <w:rFonts w:ascii="Tahoma" w:hAnsi="Tahoma"/>
            <w:sz w:val="20"/>
            <w:szCs w:val="20"/>
          </w:rPr>
          <w:t xml:space="preserve"> cycle de négociations,</w:t>
        </w:r>
      </w:hyperlink>
      <w:r w:rsidRPr="00C54022">
        <w:rPr>
          <w:rFonts w:ascii="Tahoma" w:hAnsi="Tahoma"/>
          <w:sz w:val="20"/>
          <w:szCs w:val="20"/>
        </w:rPr>
        <w:t xml:space="preserve"> les participants à l</w:t>
      </w:r>
      <w:r w:rsidR="00C54022">
        <w:rPr>
          <w:rFonts w:ascii="Tahoma" w:hAnsi="Tahoma"/>
          <w:sz w:val="20"/>
          <w:szCs w:val="20"/>
        </w:rPr>
        <w:t>’</w:t>
      </w:r>
      <w:r w:rsidRPr="00C54022">
        <w:rPr>
          <w:rFonts w:ascii="Tahoma" w:hAnsi="Tahoma"/>
          <w:sz w:val="20"/>
          <w:szCs w:val="20"/>
        </w:rPr>
        <w:t>ACS ont dressé un bilan et actualisé le plan de travail en vue de conclure les négociations d</w:t>
      </w:r>
      <w:r w:rsidR="00C54022">
        <w:rPr>
          <w:rFonts w:ascii="Tahoma" w:hAnsi="Tahoma"/>
          <w:sz w:val="20"/>
          <w:szCs w:val="20"/>
        </w:rPr>
        <w:t>’</w:t>
      </w:r>
      <w:r w:rsidRPr="00C54022">
        <w:rPr>
          <w:rFonts w:ascii="Tahoma" w:hAnsi="Tahoma"/>
          <w:sz w:val="20"/>
          <w:szCs w:val="20"/>
        </w:rPr>
        <w:t>ici la fin de l</w:t>
      </w:r>
      <w:r w:rsidR="00C54022">
        <w:rPr>
          <w:rFonts w:ascii="Tahoma" w:hAnsi="Tahoma"/>
          <w:sz w:val="20"/>
          <w:szCs w:val="20"/>
        </w:rPr>
        <w:t>’</w:t>
      </w:r>
      <w:r w:rsidRPr="00C54022">
        <w:rPr>
          <w:rFonts w:ascii="Tahoma" w:hAnsi="Tahoma"/>
          <w:sz w:val="20"/>
          <w:szCs w:val="20"/>
        </w:rPr>
        <w:t>année. Les offres révisées présentées en mai dernier ont été discutées à l</w:t>
      </w:r>
      <w:r w:rsidR="00C54022">
        <w:rPr>
          <w:rFonts w:ascii="Tahoma" w:hAnsi="Tahoma"/>
          <w:sz w:val="20"/>
          <w:szCs w:val="20"/>
        </w:rPr>
        <w:t>’</w:t>
      </w:r>
      <w:r w:rsidRPr="00C54022">
        <w:rPr>
          <w:rFonts w:ascii="Tahoma" w:hAnsi="Tahoma"/>
          <w:sz w:val="20"/>
          <w:szCs w:val="20"/>
        </w:rPr>
        <w:t>occasion du 19</w:t>
      </w:r>
      <w:r w:rsidRPr="00C54022">
        <w:rPr>
          <w:rFonts w:ascii="Tahoma" w:hAnsi="Tahoma"/>
          <w:sz w:val="20"/>
          <w:szCs w:val="20"/>
          <w:vertAlign w:val="superscript"/>
        </w:rPr>
        <w:t>ème</w:t>
      </w:r>
      <w:r w:rsidRPr="00C54022">
        <w:rPr>
          <w:rFonts w:ascii="Tahoma" w:hAnsi="Tahoma"/>
          <w:sz w:val="20"/>
          <w:szCs w:val="20"/>
        </w:rPr>
        <w:t xml:space="preserve"> cycle de négociation et une deuxième révision est prévue pour le mois d</w:t>
      </w:r>
      <w:r w:rsidR="00C54022">
        <w:rPr>
          <w:rFonts w:ascii="Tahoma" w:hAnsi="Tahoma"/>
          <w:sz w:val="20"/>
          <w:szCs w:val="20"/>
        </w:rPr>
        <w:t>’</w:t>
      </w:r>
      <w:r w:rsidRPr="00C54022">
        <w:rPr>
          <w:rFonts w:ascii="Tahoma" w:hAnsi="Tahoma"/>
          <w:sz w:val="20"/>
          <w:szCs w:val="20"/>
        </w:rPr>
        <w:t>octobre. Par ailleurs, certaines parties ont présenté des analyses complémentaires relatives à l</w:t>
      </w:r>
      <w:r w:rsidR="00C54022">
        <w:rPr>
          <w:rFonts w:ascii="Tahoma" w:hAnsi="Tahoma"/>
          <w:sz w:val="20"/>
          <w:szCs w:val="20"/>
        </w:rPr>
        <w:t>’</w:t>
      </w:r>
      <w:r w:rsidRPr="00C54022">
        <w:rPr>
          <w:rFonts w:ascii="Tahoma" w:hAnsi="Tahoma"/>
          <w:sz w:val="20"/>
          <w:szCs w:val="20"/>
        </w:rPr>
        <w:t xml:space="preserve">enseignement privé, </w:t>
      </w:r>
      <w:r w:rsidR="004F6C6D">
        <w:rPr>
          <w:rFonts w:ascii="Tahoma" w:hAnsi="Tahoma"/>
          <w:sz w:val="20"/>
          <w:szCs w:val="20"/>
        </w:rPr>
        <w:t>aux</w:t>
      </w:r>
      <w:r w:rsidRPr="00C54022">
        <w:rPr>
          <w:rFonts w:ascii="Tahoma" w:hAnsi="Tahoma"/>
          <w:sz w:val="20"/>
          <w:szCs w:val="20"/>
        </w:rPr>
        <w:t xml:space="preserve"> services juridiques, </w:t>
      </w:r>
      <w:r w:rsidR="004F6C6D">
        <w:rPr>
          <w:rFonts w:ascii="Tahoma" w:hAnsi="Tahoma"/>
          <w:sz w:val="20"/>
          <w:szCs w:val="20"/>
        </w:rPr>
        <w:t>aux</w:t>
      </w:r>
      <w:r w:rsidR="004F6C6D" w:rsidRPr="00C54022">
        <w:rPr>
          <w:rFonts w:ascii="Tahoma" w:hAnsi="Tahoma"/>
          <w:sz w:val="20"/>
          <w:szCs w:val="20"/>
        </w:rPr>
        <w:t xml:space="preserve"> </w:t>
      </w:r>
      <w:r w:rsidRPr="00C54022">
        <w:rPr>
          <w:rFonts w:ascii="Tahoma" w:hAnsi="Tahoma"/>
          <w:sz w:val="20"/>
          <w:szCs w:val="20"/>
        </w:rPr>
        <w:t xml:space="preserve">nouveaux services et </w:t>
      </w:r>
      <w:r w:rsidR="004F6C6D">
        <w:rPr>
          <w:rFonts w:ascii="Tahoma" w:hAnsi="Tahoma"/>
          <w:sz w:val="20"/>
          <w:szCs w:val="20"/>
        </w:rPr>
        <w:t>au</w:t>
      </w:r>
      <w:r w:rsidRPr="00C54022">
        <w:rPr>
          <w:rFonts w:ascii="Tahoma" w:hAnsi="Tahoma"/>
          <w:sz w:val="20"/>
          <w:szCs w:val="20"/>
        </w:rPr>
        <w:t xml:space="preserve"> mode 4. Les participants à l</w:t>
      </w:r>
      <w:r w:rsidR="00C54022">
        <w:rPr>
          <w:rFonts w:ascii="Tahoma" w:hAnsi="Tahoma"/>
          <w:sz w:val="20"/>
          <w:szCs w:val="20"/>
        </w:rPr>
        <w:t>’</w:t>
      </w:r>
      <w:r w:rsidRPr="00C54022">
        <w:rPr>
          <w:rFonts w:ascii="Tahoma" w:hAnsi="Tahoma"/>
          <w:sz w:val="20"/>
          <w:szCs w:val="20"/>
        </w:rPr>
        <w:t>ACS sont l</w:t>
      </w:r>
      <w:r w:rsidR="00C54022">
        <w:rPr>
          <w:rFonts w:ascii="Tahoma" w:hAnsi="Tahoma"/>
          <w:sz w:val="20"/>
          <w:szCs w:val="20"/>
        </w:rPr>
        <w:t>’</w:t>
      </w:r>
      <w:r w:rsidRPr="00C54022">
        <w:rPr>
          <w:rFonts w:ascii="Tahoma" w:hAnsi="Tahoma"/>
          <w:sz w:val="20"/>
          <w:szCs w:val="20"/>
        </w:rPr>
        <w:t>UE, l</w:t>
      </w:r>
      <w:r w:rsidR="00C54022">
        <w:rPr>
          <w:rFonts w:ascii="Tahoma" w:hAnsi="Tahoma"/>
          <w:sz w:val="20"/>
          <w:szCs w:val="20"/>
        </w:rPr>
        <w:t>’</w:t>
      </w:r>
      <w:r w:rsidRPr="00C54022">
        <w:rPr>
          <w:rFonts w:ascii="Tahoma" w:hAnsi="Tahoma"/>
          <w:sz w:val="20"/>
          <w:szCs w:val="20"/>
        </w:rPr>
        <w:t>Australie, le Canada, le Chili, Taïwan, la Colombie, le Costa Rica, Hong Kong, l</w:t>
      </w:r>
      <w:r w:rsidR="00C54022">
        <w:rPr>
          <w:rFonts w:ascii="Tahoma" w:hAnsi="Tahoma"/>
          <w:sz w:val="20"/>
          <w:szCs w:val="20"/>
        </w:rPr>
        <w:t>’</w:t>
      </w:r>
      <w:r w:rsidRPr="00C54022">
        <w:rPr>
          <w:rFonts w:ascii="Tahoma" w:hAnsi="Tahoma"/>
          <w:sz w:val="20"/>
          <w:szCs w:val="20"/>
        </w:rPr>
        <w:t>Islande, Israël, le Japon, le Liechtenstein, Maurice, le Mexique, la Nouvelle-Zélande, la Norvège, le Pakistan, Panama, le Pérou, la Corée du Sud, la Suisse, la Turquie et les États-Unis. L</w:t>
      </w:r>
      <w:r w:rsidR="00C54022">
        <w:rPr>
          <w:rFonts w:ascii="Tahoma" w:hAnsi="Tahoma"/>
          <w:sz w:val="20"/>
          <w:szCs w:val="20"/>
        </w:rPr>
        <w:t>’</w:t>
      </w:r>
      <w:r w:rsidRPr="00C54022">
        <w:rPr>
          <w:rFonts w:ascii="Tahoma" w:hAnsi="Tahoma"/>
          <w:sz w:val="20"/>
          <w:szCs w:val="20"/>
        </w:rPr>
        <w:t>Uruguay et le Paraguay ont quitté la table des négociations en 2015. Concernant l</w:t>
      </w:r>
      <w:r w:rsidR="00C54022">
        <w:rPr>
          <w:rFonts w:ascii="Tahoma" w:hAnsi="Tahoma"/>
          <w:sz w:val="20"/>
          <w:szCs w:val="20"/>
        </w:rPr>
        <w:t>’</w:t>
      </w:r>
      <w:r w:rsidRPr="00C54022">
        <w:rPr>
          <w:rFonts w:ascii="Tahoma" w:hAnsi="Tahoma"/>
          <w:sz w:val="20"/>
          <w:szCs w:val="20"/>
        </w:rPr>
        <w:t>Uruguay, ce retrait était dû à l</w:t>
      </w:r>
      <w:r w:rsidR="00C54022">
        <w:rPr>
          <w:rFonts w:ascii="Tahoma" w:hAnsi="Tahoma"/>
          <w:sz w:val="20"/>
          <w:szCs w:val="20"/>
        </w:rPr>
        <w:t>’</w:t>
      </w:r>
      <w:r w:rsidRPr="00C54022">
        <w:rPr>
          <w:rFonts w:ascii="Tahoma" w:hAnsi="Tahoma"/>
          <w:sz w:val="20"/>
          <w:szCs w:val="20"/>
        </w:rPr>
        <w:t>opposition publique face aux graves conséquences potentielles de l</w:t>
      </w:r>
      <w:r w:rsidR="00C54022">
        <w:rPr>
          <w:rFonts w:ascii="Tahoma" w:hAnsi="Tahoma"/>
          <w:sz w:val="20"/>
          <w:szCs w:val="20"/>
        </w:rPr>
        <w:t>’</w:t>
      </w:r>
      <w:r w:rsidRPr="00C54022">
        <w:rPr>
          <w:rFonts w:ascii="Tahoma" w:hAnsi="Tahoma"/>
          <w:sz w:val="20"/>
          <w:szCs w:val="20"/>
        </w:rPr>
        <w:t>ACS.</w:t>
      </w:r>
    </w:p>
    <w:p w14:paraId="42E2DD66" w14:textId="77777777" w:rsidR="00806CA2" w:rsidRPr="00C54022" w:rsidRDefault="00806CA2" w:rsidP="00596913">
      <w:pPr>
        <w:rPr>
          <w:rFonts w:ascii="Tahoma" w:hAnsi="Tahoma" w:cs="Tahoma"/>
          <w:sz w:val="20"/>
          <w:szCs w:val="20"/>
        </w:rPr>
      </w:pPr>
    </w:p>
    <w:p w14:paraId="26C9D89C" w14:textId="449D81D1" w:rsidR="00562BBE" w:rsidRPr="00C54022" w:rsidRDefault="00635D83" w:rsidP="00596913">
      <w:pPr>
        <w:rPr>
          <w:rFonts w:ascii="Tahoma" w:hAnsi="Tahoma" w:cs="Tahoma"/>
          <w:sz w:val="20"/>
          <w:szCs w:val="20"/>
        </w:rPr>
      </w:pPr>
      <w:r w:rsidRPr="00C54022">
        <w:rPr>
          <w:rFonts w:ascii="Tahoma" w:hAnsi="Tahoma"/>
          <w:sz w:val="20"/>
          <w:szCs w:val="20"/>
        </w:rPr>
        <w:t>Les négociations étant menées dans le plus grand secret, les informations sur le contenu de l</w:t>
      </w:r>
      <w:r w:rsidR="00C54022">
        <w:rPr>
          <w:rFonts w:ascii="Tahoma" w:hAnsi="Tahoma"/>
          <w:sz w:val="20"/>
          <w:szCs w:val="20"/>
        </w:rPr>
        <w:t>’</w:t>
      </w:r>
      <w:r w:rsidRPr="00C54022">
        <w:rPr>
          <w:rFonts w:ascii="Tahoma" w:hAnsi="Tahoma"/>
          <w:sz w:val="20"/>
          <w:szCs w:val="20"/>
        </w:rPr>
        <w:t xml:space="preserve">accord </w:t>
      </w:r>
      <w:r w:rsidRPr="00026E79">
        <w:rPr>
          <w:rFonts w:ascii="Tahoma" w:hAnsi="Tahoma" w:cs="Tahoma"/>
          <w:sz w:val="20"/>
          <w:szCs w:val="20"/>
        </w:rPr>
        <w:t>proposé restent très limitées. Cependant, suite à un certain nombre de fuites, la Commission européenne a créé une page Internet consacrée à l</w:t>
      </w:r>
      <w:r w:rsidR="00C54022" w:rsidRPr="00026E79">
        <w:rPr>
          <w:rFonts w:ascii="Tahoma" w:hAnsi="Tahoma" w:cs="Tahoma"/>
          <w:sz w:val="20"/>
          <w:szCs w:val="20"/>
        </w:rPr>
        <w:t>’</w:t>
      </w:r>
      <w:r w:rsidRPr="00026E79">
        <w:rPr>
          <w:rFonts w:ascii="Tahoma" w:hAnsi="Tahoma" w:cs="Tahoma"/>
          <w:sz w:val="20"/>
          <w:szCs w:val="20"/>
        </w:rPr>
        <w:t>ACS afin d</w:t>
      </w:r>
      <w:r w:rsidR="00C54022" w:rsidRPr="00026E79">
        <w:rPr>
          <w:rFonts w:ascii="Tahoma" w:hAnsi="Tahoma" w:cs="Tahoma"/>
          <w:sz w:val="20"/>
          <w:szCs w:val="20"/>
        </w:rPr>
        <w:t>’</w:t>
      </w:r>
      <w:r w:rsidRPr="00026E79">
        <w:rPr>
          <w:rFonts w:ascii="Tahoma" w:hAnsi="Tahoma" w:cs="Tahoma"/>
          <w:sz w:val="20"/>
          <w:szCs w:val="20"/>
        </w:rPr>
        <w:t>en améliorer la transparence. Il n</w:t>
      </w:r>
      <w:r w:rsidR="00C54022" w:rsidRPr="00026E79">
        <w:rPr>
          <w:rFonts w:ascii="Tahoma" w:hAnsi="Tahoma" w:cs="Tahoma"/>
          <w:sz w:val="20"/>
          <w:szCs w:val="20"/>
        </w:rPr>
        <w:t>’</w:t>
      </w:r>
      <w:r w:rsidRPr="00026E79">
        <w:rPr>
          <w:rFonts w:ascii="Tahoma" w:hAnsi="Tahoma" w:cs="Tahoma"/>
          <w:sz w:val="20"/>
          <w:szCs w:val="20"/>
        </w:rPr>
        <w:t xml:space="preserve">en </w:t>
      </w:r>
      <w:r w:rsidRPr="00026E79">
        <w:rPr>
          <w:rFonts w:ascii="Tahoma" w:hAnsi="Tahoma" w:cs="Tahoma"/>
          <w:sz w:val="20"/>
          <w:szCs w:val="20"/>
        </w:rPr>
        <w:lastRenderedPageBreak/>
        <w:t>reste pas moins que l</w:t>
      </w:r>
      <w:r w:rsidR="00C54022" w:rsidRPr="00026E79">
        <w:rPr>
          <w:rFonts w:ascii="Tahoma" w:hAnsi="Tahoma" w:cs="Tahoma"/>
          <w:sz w:val="20"/>
          <w:szCs w:val="20"/>
        </w:rPr>
        <w:t>’</w:t>
      </w:r>
      <w:r w:rsidRPr="00026E79">
        <w:rPr>
          <w:rFonts w:ascii="Tahoma" w:hAnsi="Tahoma" w:cs="Tahoma"/>
          <w:sz w:val="20"/>
          <w:szCs w:val="20"/>
        </w:rPr>
        <w:t>ACS est l</w:t>
      </w:r>
      <w:r w:rsidR="00C54022" w:rsidRPr="00026E79">
        <w:rPr>
          <w:rFonts w:ascii="Tahoma" w:hAnsi="Tahoma" w:cs="Tahoma"/>
          <w:sz w:val="20"/>
          <w:szCs w:val="20"/>
        </w:rPr>
        <w:t>’</w:t>
      </w:r>
      <w:r w:rsidRPr="00026E79">
        <w:rPr>
          <w:rFonts w:ascii="Tahoma" w:hAnsi="Tahoma" w:cs="Tahoma"/>
          <w:sz w:val="20"/>
          <w:szCs w:val="20"/>
        </w:rPr>
        <w:t>une des négociations commerciales les plus secrètes. Au niveau de l</w:t>
      </w:r>
      <w:r w:rsidR="00C54022" w:rsidRPr="00026E79">
        <w:rPr>
          <w:rFonts w:ascii="Tahoma" w:hAnsi="Tahoma" w:cs="Tahoma"/>
          <w:sz w:val="20"/>
          <w:szCs w:val="20"/>
        </w:rPr>
        <w:t>’</w:t>
      </w:r>
      <w:r w:rsidRPr="00026E79">
        <w:rPr>
          <w:rFonts w:ascii="Tahoma" w:hAnsi="Tahoma" w:cs="Tahoma"/>
          <w:sz w:val="20"/>
          <w:szCs w:val="20"/>
        </w:rPr>
        <w:t xml:space="preserve">UE, le </w:t>
      </w:r>
      <w:hyperlink r:id="rId17" w:history="1">
        <w:r w:rsidRPr="00026E79">
          <w:rPr>
            <w:rStyle w:val="Hyperlink"/>
            <w:rFonts w:ascii="Tahoma" w:hAnsi="Tahoma" w:cs="Tahoma"/>
            <w:sz w:val="20"/>
            <w:szCs w:val="20"/>
          </w:rPr>
          <w:t>mandat de négociation de l</w:t>
        </w:r>
        <w:r w:rsidR="00C54022" w:rsidRPr="00026E79">
          <w:rPr>
            <w:rStyle w:val="Hyperlink"/>
            <w:rFonts w:ascii="Tahoma" w:hAnsi="Tahoma" w:cs="Tahoma"/>
            <w:sz w:val="20"/>
            <w:szCs w:val="20"/>
          </w:rPr>
          <w:t>’</w:t>
        </w:r>
        <w:r w:rsidRPr="00026E79">
          <w:rPr>
            <w:rStyle w:val="Hyperlink"/>
            <w:rFonts w:ascii="Tahoma" w:hAnsi="Tahoma" w:cs="Tahoma"/>
            <w:sz w:val="20"/>
            <w:szCs w:val="20"/>
          </w:rPr>
          <w:t>ACS</w:t>
        </w:r>
      </w:hyperlink>
      <w:r w:rsidRPr="00026E79">
        <w:rPr>
          <w:rStyle w:val="Hyperlink"/>
          <w:rFonts w:ascii="Tahoma" w:hAnsi="Tahoma" w:cs="Tahoma"/>
          <w:sz w:val="20"/>
          <w:szCs w:val="20"/>
          <w:u w:val="none"/>
        </w:rPr>
        <w:t xml:space="preserve"> </w:t>
      </w:r>
      <w:r w:rsidRPr="00026E79">
        <w:rPr>
          <w:rFonts w:ascii="Tahoma" w:hAnsi="Tahoma" w:cs="Tahoma"/>
          <w:sz w:val="20"/>
          <w:szCs w:val="20"/>
        </w:rPr>
        <w:t>n</w:t>
      </w:r>
      <w:r w:rsidR="00C54022" w:rsidRPr="00026E79">
        <w:rPr>
          <w:rFonts w:ascii="Tahoma" w:hAnsi="Tahoma" w:cs="Tahoma"/>
          <w:sz w:val="20"/>
          <w:szCs w:val="20"/>
        </w:rPr>
        <w:t>’</w:t>
      </w:r>
      <w:r w:rsidRPr="00026E79">
        <w:rPr>
          <w:rFonts w:ascii="Tahoma" w:hAnsi="Tahoma" w:cs="Tahoma"/>
          <w:sz w:val="20"/>
          <w:szCs w:val="20"/>
        </w:rPr>
        <w:t>a été publié qu</w:t>
      </w:r>
      <w:r w:rsidR="00C54022" w:rsidRPr="00026E79">
        <w:rPr>
          <w:rFonts w:ascii="Tahoma" w:hAnsi="Tahoma" w:cs="Tahoma"/>
          <w:sz w:val="20"/>
          <w:szCs w:val="20"/>
        </w:rPr>
        <w:t>’</w:t>
      </w:r>
      <w:r w:rsidRPr="00026E79">
        <w:rPr>
          <w:rFonts w:ascii="Tahoma" w:hAnsi="Tahoma" w:cs="Tahoma"/>
          <w:sz w:val="20"/>
          <w:szCs w:val="20"/>
        </w:rPr>
        <w:t>environ deux ans après son adoption. La CE a publié l</w:t>
      </w:r>
      <w:r w:rsidR="00C54022" w:rsidRPr="00026E79">
        <w:rPr>
          <w:rFonts w:ascii="Tahoma" w:hAnsi="Tahoma" w:cs="Tahoma"/>
          <w:sz w:val="20"/>
          <w:szCs w:val="20"/>
        </w:rPr>
        <w:t>’</w:t>
      </w:r>
      <w:r w:rsidRPr="00026E79">
        <w:rPr>
          <w:rFonts w:ascii="Tahoma" w:hAnsi="Tahoma" w:cs="Tahoma"/>
          <w:sz w:val="20"/>
          <w:szCs w:val="20"/>
        </w:rPr>
        <w:t>offre initiale de l</w:t>
      </w:r>
      <w:r w:rsidR="00C54022" w:rsidRPr="00026E79">
        <w:rPr>
          <w:rFonts w:ascii="Tahoma" w:hAnsi="Tahoma" w:cs="Tahoma"/>
          <w:sz w:val="20"/>
          <w:szCs w:val="20"/>
        </w:rPr>
        <w:t>’</w:t>
      </w:r>
      <w:r w:rsidRPr="00026E79">
        <w:rPr>
          <w:rFonts w:ascii="Tahoma" w:hAnsi="Tahoma" w:cs="Tahoma"/>
          <w:sz w:val="20"/>
          <w:szCs w:val="20"/>
        </w:rPr>
        <w:t>UE sur les services (2013) et l</w:t>
      </w:r>
      <w:r w:rsidR="00C54022" w:rsidRPr="00026E79">
        <w:rPr>
          <w:rFonts w:ascii="Tahoma" w:hAnsi="Tahoma" w:cs="Tahoma"/>
          <w:sz w:val="20"/>
          <w:szCs w:val="20"/>
        </w:rPr>
        <w:t>’</w:t>
      </w:r>
      <w:r w:rsidRPr="00026E79">
        <w:rPr>
          <w:rFonts w:ascii="Tahoma" w:hAnsi="Tahoma" w:cs="Tahoma"/>
          <w:sz w:val="20"/>
          <w:szCs w:val="20"/>
        </w:rPr>
        <w:t>offre révisée (2016) sur une page dédiée à l</w:t>
      </w:r>
      <w:r w:rsidR="00C54022" w:rsidRPr="00026E79">
        <w:rPr>
          <w:rFonts w:ascii="Tahoma" w:hAnsi="Tahoma" w:cs="Tahoma"/>
          <w:sz w:val="20"/>
          <w:szCs w:val="20"/>
        </w:rPr>
        <w:t>’</w:t>
      </w:r>
      <w:r w:rsidRPr="00026E79">
        <w:rPr>
          <w:rFonts w:ascii="Tahoma" w:hAnsi="Tahoma" w:cs="Tahoma"/>
          <w:sz w:val="20"/>
          <w:szCs w:val="20"/>
        </w:rPr>
        <w:t>ACS. Ces deux offres comprennent d</w:t>
      </w:r>
      <w:r w:rsidR="00C54022" w:rsidRPr="00026E79">
        <w:rPr>
          <w:rFonts w:ascii="Tahoma" w:hAnsi="Tahoma" w:cs="Tahoma"/>
          <w:sz w:val="20"/>
          <w:szCs w:val="20"/>
        </w:rPr>
        <w:t>’</w:t>
      </w:r>
      <w:r w:rsidRPr="00026E79">
        <w:rPr>
          <w:rFonts w:ascii="Tahoma" w:hAnsi="Tahoma" w:cs="Tahoma"/>
          <w:sz w:val="20"/>
          <w:szCs w:val="20"/>
        </w:rPr>
        <w:t>importants engagements concernant les services de l</w:t>
      </w:r>
      <w:r w:rsidR="00C54022" w:rsidRPr="00026E79">
        <w:rPr>
          <w:rFonts w:ascii="Tahoma" w:hAnsi="Tahoma" w:cs="Tahoma"/>
          <w:sz w:val="20"/>
          <w:szCs w:val="20"/>
        </w:rPr>
        <w:t>’</w:t>
      </w:r>
      <w:r w:rsidRPr="00026E79">
        <w:rPr>
          <w:rFonts w:ascii="Tahoma" w:hAnsi="Tahoma" w:cs="Tahoma"/>
          <w:sz w:val="20"/>
          <w:szCs w:val="20"/>
        </w:rPr>
        <w:t>éducation financés par des fonds privés, même si les engagements varient légèrement entre États membres en raison des exclusions spécifiques adoptées. De fait, l</w:t>
      </w:r>
      <w:r w:rsidR="00C54022" w:rsidRPr="00026E79">
        <w:rPr>
          <w:rFonts w:ascii="Tahoma" w:hAnsi="Tahoma" w:cs="Tahoma"/>
          <w:sz w:val="20"/>
          <w:szCs w:val="20"/>
        </w:rPr>
        <w:t>’</w:t>
      </w:r>
      <w:r w:rsidRPr="00026E79">
        <w:rPr>
          <w:rFonts w:ascii="Tahoma" w:hAnsi="Tahoma" w:cs="Tahoma"/>
          <w:sz w:val="20"/>
          <w:szCs w:val="20"/>
        </w:rPr>
        <w:t>UE et ses États membres ouvrent en effet la porte à des prestataires étrangers ayant des objectifs</w:t>
      </w:r>
      <w:r w:rsidRPr="00C54022">
        <w:rPr>
          <w:rFonts w:ascii="Tahoma" w:hAnsi="Tahoma"/>
          <w:sz w:val="20"/>
          <w:szCs w:val="20"/>
        </w:rPr>
        <w:t xml:space="preserve"> lucratifs dans le domaine de l</w:t>
      </w:r>
      <w:r w:rsidR="00C54022">
        <w:rPr>
          <w:rFonts w:ascii="Tahoma" w:hAnsi="Tahoma"/>
          <w:sz w:val="20"/>
          <w:szCs w:val="20"/>
        </w:rPr>
        <w:t>’</w:t>
      </w:r>
      <w:r w:rsidRPr="00C54022">
        <w:rPr>
          <w:rFonts w:ascii="Tahoma" w:hAnsi="Tahoma"/>
          <w:sz w:val="20"/>
          <w:szCs w:val="20"/>
        </w:rPr>
        <w:t>éducation. Il est inquiétant de constater que la Commission européenne a demandé aux États membres de l</w:t>
      </w:r>
      <w:r w:rsidR="00C54022">
        <w:rPr>
          <w:rFonts w:ascii="Tahoma" w:hAnsi="Tahoma"/>
          <w:sz w:val="20"/>
          <w:szCs w:val="20"/>
        </w:rPr>
        <w:t>’</w:t>
      </w:r>
      <w:r w:rsidRPr="00C54022">
        <w:rPr>
          <w:rFonts w:ascii="Tahoma" w:hAnsi="Tahoma"/>
          <w:sz w:val="20"/>
          <w:szCs w:val="20"/>
        </w:rPr>
        <w:t>UE de revoir et limiter leurs réserves adoptées dans le cadre de l</w:t>
      </w:r>
      <w:r w:rsidR="00C54022">
        <w:rPr>
          <w:rFonts w:ascii="Tahoma" w:hAnsi="Tahoma"/>
          <w:sz w:val="20"/>
          <w:szCs w:val="20"/>
        </w:rPr>
        <w:t>’</w:t>
      </w:r>
      <w:r w:rsidRPr="00C54022">
        <w:rPr>
          <w:rFonts w:ascii="Tahoma" w:hAnsi="Tahoma"/>
          <w:sz w:val="20"/>
          <w:szCs w:val="20"/>
        </w:rPr>
        <w:t>AECG vis-à-vis des négociations sur l</w:t>
      </w:r>
      <w:r w:rsidR="00C54022">
        <w:rPr>
          <w:rFonts w:ascii="Tahoma" w:hAnsi="Tahoma"/>
          <w:sz w:val="20"/>
          <w:szCs w:val="20"/>
        </w:rPr>
        <w:t>’</w:t>
      </w:r>
      <w:r w:rsidRPr="00C54022">
        <w:rPr>
          <w:rFonts w:ascii="Tahoma" w:hAnsi="Tahoma"/>
          <w:sz w:val="20"/>
          <w:szCs w:val="20"/>
        </w:rPr>
        <w:t>ACS (et le TTIP). Dans les dispositions du texte principal proposées par l</w:t>
      </w:r>
      <w:r w:rsidR="00C54022">
        <w:rPr>
          <w:rFonts w:ascii="Tahoma" w:hAnsi="Tahoma"/>
          <w:sz w:val="20"/>
          <w:szCs w:val="20"/>
        </w:rPr>
        <w:t>’</w:t>
      </w:r>
      <w:r w:rsidRPr="00C54022">
        <w:rPr>
          <w:rFonts w:ascii="Tahoma" w:hAnsi="Tahoma"/>
          <w:sz w:val="20"/>
          <w:szCs w:val="20"/>
        </w:rPr>
        <w:t>UE, il n</w:t>
      </w:r>
      <w:r w:rsidR="00C54022">
        <w:rPr>
          <w:rFonts w:ascii="Tahoma" w:hAnsi="Tahoma"/>
          <w:sz w:val="20"/>
          <w:szCs w:val="20"/>
        </w:rPr>
        <w:t>’</w:t>
      </w:r>
      <w:r w:rsidRPr="00C54022">
        <w:rPr>
          <w:rFonts w:ascii="Tahoma" w:hAnsi="Tahoma"/>
          <w:sz w:val="20"/>
          <w:szCs w:val="20"/>
        </w:rPr>
        <w:t>est fait aucune mention d</w:t>
      </w:r>
      <w:r w:rsidR="00C54022">
        <w:rPr>
          <w:rFonts w:ascii="Tahoma" w:hAnsi="Tahoma"/>
          <w:sz w:val="20"/>
          <w:szCs w:val="20"/>
        </w:rPr>
        <w:t>’</w:t>
      </w:r>
      <w:r w:rsidRPr="00C54022">
        <w:rPr>
          <w:rFonts w:ascii="Tahoma" w:hAnsi="Tahoma"/>
          <w:sz w:val="20"/>
          <w:szCs w:val="20"/>
        </w:rPr>
        <w:t>une quelconque exception au champ d</w:t>
      </w:r>
      <w:r w:rsidR="00C54022">
        <w:rPr>
          <w:rFonts w:ascii="Tahoma" w:hAnsi="Tahoma"/>
          <w:sz w:val="20"/>
          <w:szCs w:val="20"/>
        </w:rPr>
        <w:t>’</w:t>
      </w:r>
      <w:r w:rsidRPr="00C54022">
        <w:rPr>
          <w:rFonts w:ascii="Tahoma" w:hAnsi="Tahoma"/>
          <w:sz w:val="20"/>
          <w:szCs w:val="20"/>
        </w:rPr>
        <w:t>application de l</w:t>
      </w:r>
      <w:r w:rsidR="00C54022">
        <w:rPr>
          <w:rFonts w:ascii="Tahoma" w:hAnsi="Tahoma"/>
          <w:sz w:val="20"/>
          <w:szCs w:val="20"/>
        </w:rPr>
        <w:t>’</w:t>
      </w:r>
      <w:r w:rsidRPr="00C54022">
        <w:rPr>
          <w:rFonts w:ascii="Tahoma" w:hAnsi="Tahoma"/>
          <w:sz w:val="20"/>
          <w:szCs w:val="20"/>
        </w:rPr>
        <w:t>accord pour les services publics ou les services d</w:t>
      </w:r>
      <w:r w:rsidR="00C54022">
        <w:rPr>
          <w:rFonts w:ascii="Tahoma" w:hAnsi="Tahoma"/>
          <w:sz w:val="20"/>
          <w:szCs w:val="20"/>
        </w:rPr>
        <w:t>’</w:t>
      </w:r>
      <w:r w:rsidRPr="00C54022">
        <w:rPr>
          <w:rFonts w:ascii="Tahoma" w:hAnsi="Tahoma"/>
          <w:sz w:val="20"/>
          <w:szCs w:val="20"/>
        </w:rPr>
        <w:t>intérêt général. Dans l</w:t>
      </w:r>
      <w:r w:rsidR="00C54022">
        <w:rPr>
          <w:rFonts w:ascii="Tahoma" w:hAnsi="Tahoma"/>
          <w:sz w:val="20"/>
          <w:szCs w:val="20"/>
        </w:rPr>
        <w:t>’</w:t>
      </w:r>
      <w:r w:rsidRPr="00C54022">
        <w:rPr>
          <w:rFonts w:ascii="Tahoma" w:hAnsi="Tahoma"/>
          <w:sz w:val="20"/>
          <w:szCs w:val="20"/>
        </w:rPr>
        <w:t>offre révisée sur les services proposée par l</w:t>
      </w:r>
      <w:r w:rsidR="00C54022">
        <w:rPr>
          <w:rFonts w:ascii="Tahoma" w:hAnsi="Tahoma"/>
          <w:sz w:val="20"/>
          <w:szCs w:val="20"/>
        </w:rPr>
        <w:t>’</w:t>
      </w:r>
      <w:r w:rsidRPr="00C54022">
        <w:rPr>
          <w:rFonts w:ascii="Tahoma" w:hAnsi="Tahoma"/>
          <w:sz w:val="20"/>
          <w:szCs w:val="20"/>
        </w:rPr>
        <w:t>UE, la définition de l</w:t>
      </w:r>
      <w:r w:rsidR="00C54022">
        <w:rPr>
          <w:rFonts w:ascii="Tahoma" w:hAnsi="Tahoma"/>
          <w:sz w:val="20"/>
          <w:szCs w:val="20"/>
        </w:rPr>
        <w:t>’</w:t>
      </w:r>
      <w:r w:rsidRPr="00C54022">
        <w:rPr>
          <w:rFonts w:ascii="Tahoma" w:hAnsi="Tahoma"/>
          <w:sz w:val="20"/>
          <w:szCs w:val="20"/>
        </w:rPr>
        <w:t>éducation publique a été modifiée et est dorénavant alignée sur</w:t>
      </w:r>
      <w:r w:rsidR="00FD15B5">
        <w:rPr>
          <w:rFonts w:ascii="Tahoma" w:hAnsi="Tahoma"/>
          <w:sz w:val="20"/>
          <w:szCs w:val="20"/>
        </w:rPr>
        <w:t xml:space="preserve"> </w:t>
      </w:r>
      <w:r w:rsidR="00FD15B5" w:rsidRPr="00C54022">
        <w:rPr>
          <w:rFonts w:ascii="Tahoma" w:hAnsi="Tahoma"/>
          <w:sz w:val="20"/>
          <w:szCs w:val="20"/>
        </w:rPr>
        <w:t>la définition plus générale</w:t>
      </w:r>
      <w:r w:rsidRPr="00C54022">
        <w:rPr>
          <w:rFonts w:ascii="Tahoma" w:hAnsi="Tahoma"/>
          <w:sz w:val="20"/>
          <w:szCs w:val="20"/>
        </w:rPr>
        <w:t xml:space="preserve"> </w:t>
      </w:r>
      <w:r w:rsidR="00895801" w:rsidRPr="00C54022">
        <w:rPr>
          <w:rStyle w:val="FootnoteReference"/>
          <w:rFonts w:ascii="Tahoma" w:hAnsi="Tahoma" w:cs="Tahoma"/>
          <w:sz w:val="20"/>
          <w:szCs w:val="20"/>
        </w:rPr>
        <w:footnoteReference w:id="1"/>
      </w:r>
      <w:r w:rsidRPr="00C54022">
        <w:rPr>
          <w:rFonts w:ascii="Tahoma" w:hAnsi="Tahoma"/>
          <w:sz w:val="20"/>
          <w:szCs w:val="20"/>
        </w:rPr>
        <w:t xml:space="preserve"> de l</w:t>
      </w:r>
      <w:r w:rsidR="00C54022">
        <w:rPr>
          <w:rFonts w:ascii="Tahoma" w:hAnsi="Tahoma"/>
          <w:sz w:val="20"/>
          <w:szCs w:val="20"/>
        </w:rPr>
        <w:t>’</w:t>
      </w:r>
      <w:r w:rsidRPr="00C54022">
        <w:rPr>
          <w:rFonts w:ascii="Tahoma" w:hAnsi="Tahoma"/>
          <w:sz w:val="20"/>
          <w:szCs w:val="20"/>
        </w:rPr>
        <w:t>AECG. Dans la première offre sur les services de l</w:t>
      </w:r>
      <w:r w:rsidR="00C54022">
        <w:rPr>
          <w:rFonts w:ascii="Tahoma" w:hAnsi="Tahoma"/>
          <w:sz w:val="20"/>
          <w:szCs w:val="20"/>
        </w:rPr>
        <w:t>’</w:t>
      </w:r>
      <w:r w:rsidRPr="00C54022">
        <w:rPr>
          <w:rFonts w:ascii="Tahoma" w:hAnsi="Tahoma"/>
          <w:sz w:val="20"/>
          <w:szCs w:val="20"/>
        </w:rPr>
        <w:t>ACS, il n</w:t>
      </w:r>
      <w:r w:rsidR="00C54022">
        <w:rPr>
          <w:rFonts w:ascii="Tahoma" w:hAnsi="Tahoma"/>
          <w:sz w:val="20"/>
          <w:szCs w:val="20"/>
        </w:rPr>
        <w:t>’</w:t>
      </w:r>
      <w:r w:rsidRPr="00C54022">
        <w:rPr>
          <w:rFonts w:ascii="Tahoma" w:hAnsi="Tahoma"/>
          <w:sz w:val="20"/>
          <w:szCs w:val="20"/>
        </w:rPr>
        <w:t>est fait mention que « d</w:t>
      </w:r>
      <w:r w:rsidR="00C54022">
        <w:rPr>
          <w:rFonts w:ascii="Tahoma" w:hAnsi="Tahoma"/>
          <w:sz w:val="20"/>
          <w:szCs w:val="20"/>
        </w:rPr>
        <w:t>’</w:t>
      </w:r>
      <w:r w:rsidRPr="00C54022">
        <w:rPr>
          <w:rFonts w:ascii="Tahoma" w:hAnsi="Tahoma"/>
          <w:sz w:val="20"/>
          <w:szCs w:val="20"/>
        </w:rPr>
        <w:t xml:space="preserve">éducation publique ». </w:t>
      </w:r>
    </w:p>
    <w:p w14:paraId="477A7597" w14:textId="77777777" w:rsidR="00562BBE" w:rsidRPr="00C54022" w:rsidRDefault="00562BBE" w:rsidP="00596913">
      <w:pPr>
        <w:rPr>
          <w:rFonts w:ascii="Tahoma" w:hAnsi="Tahoma" w:cs="Tahoma"/>
          <w:sz w:val="20"/>
          <w:szCs w:val="20"/>
        </w:rPr>
      </w:pPr>
    </w:p>
    <w:p w14:paraId="6E4A9210" w14:textId="59B4D393" w:rsidR="00415D65" w:rsidRPr="00C54022" w:rsidRDefault="00895801" w:rsidP="00596913">
      <w:pPr>
        <w:rPr>
          <w:rFonts w:ascii="Tahoma" w:hAnsi="Tahoma" w:cs="Tahoma"/>
          <w:sz w:val="20"/>
          <w:szCs w:val="20"/>
        </w:rPr>
      </w:pPr>
      <w:r w:rsidRPr="00C54022">
        <w:rPr>
          <w:rFonts w:ascii="Tahoma" w:hAnsi="Tahoma"/>
          <w:sz w:val="20"/>
          <w:szCs w:val="20"/>
        </w:rPr>
        <w:t xml:space="preserve">Une autre question problématique a trait aux </w:t>
      </w:r>
      <w:r w:rsidRPr="00C54022">
        <w:rPr>
          <w:rFonts w:ascii="Tahoma" w:hAnsi="Tahoma"/>
          <w:i/>
          <w:sz w:val="20"/>
          <w:szCs w:val="20"/>
          <w:u w:val="single"/>
        </w:rPr>
        <w:t>réserves de l</w:t>
      </w:r>
      <w:r w:rsidR="00C54022">
        <w:rPr>
          <w:rFonts w:ascii="Tahoma" w:hAnsi="Tahoma"/>
          <w:i/>
          <w:sz w:val="20"/>
          <w:szCs w:val="20"/>
          <w:u w:val="single"/>
        </w:rPr>
        <w:t>’</w:t>
      </w:r>
      <w:r w:rsidRPr="00C54022">
        <w:rPr>
          <w:rFonts w:ascii="Tahoma" w:hAnsi="Tahoma"/>
          <w:i/>
          <w:sz w:val="20"/>
          <w:szCs w:val="20"/>
          <w:u w:val="single"/>
        </w:rPr>
        <w:t>UE concernant les services publics</w:t>
      </w:r>
      <w:r w:rsidRPr="00C54022">
        <w:rPr>
          <w:rFonts w:ascii="Tahoma" w:hAnsi="Tahoma"/>
          <w:sz w:val="20"/>
          <w:szCs w:val="20"/>
        </w:rPr>
        <w:t>, faute de définition claire</w:t>
      </w:r>
      <w:r w:rsidRPr="00C54022">
        <w:rPr>
          <w:rStyle w:val="FootnoteReference"/>
          <w:rFonts w:ascii="Tahoma" w:hAnsi="Tahoma" w:cs="Tahoma"/>
          <w:sz w:val="20"/>
          <w:szCs w:val="20"/>
        </w:rPr>
        <w:footnoteReference w:id="2"/>
      </w:r>
      <w:r w:rsidRPr="00C54022">
        <w:rPr>
          <w:rFonts w:ascii="Tahoma" w:hAnsi="Tahoma"/>
          <w:sz w:val="20"/>
          <w:szCs w:val="20"/>
        </w:rPr>
        <w:t>. Le manque de clarté des réserves relatives aux services publics place le secteur de l</w:t>
      </w:r>
      <w:r w:rsidR="00C54022">
        <w:rPr>
          <w:rFonts w:ascii="Tahoma" w:hAnsi="Tahoma"/>
          <w:sz w:val="20"/>
          <w:szCs w:val="20"/>
        </w:rPr>
        <w:t>’</w:t>
      </w:r>
      <w:r w:rsidRPr="00C54022">
        <w:rPr>
          <w:rFonts w:ascii="Tahoma" w:hAnsi="Tahoma"/>
          <w:sz w:val="20"/>
          <w:szCs w:val="20"/>
        </w:rPr>
        <w:t xml:space="preserve">éducation dans une position vulnérable, car </w:t>
      </w:r>
      <w:r w:rsidR="006D7E5B">
        <w:rPr>
          <w:rFonts w:ascii="Tahoma" w:hAnsi="Tahoma"/>
          <w:sz w:val="20"/>
          <w:szCs w:val="20"/>
        </w:rPr>
        <w:t>il n’apparaît</w:t>
      </w:r>
      <w:r w:rsidRPr="00C54022">
        <w:rPr>
          <w:rFonts w:ascii="Tahoma" w:hAnsi="Tahoma"/>
          <w:sz w:val="20"/>
          <w:szCs w:val="20"/>
        </w:rPr>
        <w:t xml:space="preserve"> dans aucun des exemples mentionnés dans la liste des réserves relatives aux services publics. Par ailleurs, dans son accord avec Singapour, </w:t>
      </w:r>
      <w:r w:rsidRPr="00C54022">
        <w:rPr>
          <w:rFonts w:ascii="Tahoma" w:hAnsi="Tahoma"/>
          <w:i/>
          <w:sz w:val="20"/>
          <w:szCs w:val="20"/>
          <w:u w:val="single"/>
        </w:rPr>
        <w:t>l</w:t>
      </w:r>
      <w:r w:rsidR="00C54022">
        <w:rPr>
          <w:rFonts w:ascii="Tahoma" w:hAnsi="Tahoma"/>
          <w:i/>
          <w:sz w:val="20"/>
          <w:szCs w:val="20"/>
          <w:u w:val="single"/>
        </w:rPr>
        <w:t>’</w:t>
      </w:r>
      <w:r w:rsidRPr="00C54022">
        <w:rPr>
          <w:rFonts w:ascii="Tahoma" w:hAnsi="Tahoma"/>
          <w:i/>
          <w:sz w:val="20"/>
          <w:szCs w:val="20"/>
          <w:u w:val="single"/>
        </w:rPr>
        <w:t>UE ne semble pas considérer l</w:t>
      </w:r>
      <w:r w:rsidR="00C54022">
        <w:rPr>
          <w:rFonts w:ascii="Tahoma" w:hAnsi="Tahoma"/>
          <w:i/>
          <w:sz w:val="20"/>
          <w:szCs w:val="20"/>
          <w:u w:val="single"/>
        </w:rPr>
        <w:t>’</w:t>
      </w:r>
      <w:r w:rsidRPr="00C54022">
        <w:rPr>
          <w:rFonts w:ascii="Tahoma" w:hAnsi="Tahoma"/>
          <w:i/>
          <w:sz w:val="20"/>
          <w:szCs w:val="20"/>
          <w:u w:val="single"/>
        </w:rPr>
        <w:t>éducation comme un service public</w:t>
      </w:r>
      <w:r w:rsidRPr="00C54022">
        <w:rPr>
          <w:rFonts w:ascii="Tahoma" w:hAnsi="Tahoma"/>
          <w:sz w:val="20"/>
          <w:szCs w:val="20"/>
        </w:rPr>
        <w:t xml:space="preserve"> du fait de l</w:t>
      </w:r>
      <w:r w:rsidR="00C54022">
        <w:rPr>
          <w:rFonts w:ascii="Tahoma" w:hAnsi="Tahoma"/>
          <w:sz w:val="20"/>
          <w:szCs w:val="20"/>
        </w:rPr>
        <w:t>’</w:t>
      </w:r>
      <w:r w:rsidRPr="00C54022">
        <w:rPr>
          <w:rFonts w:ascii="Tahoma" w:hAnsi="Tahoma"/>
          <w:sz w:val="20"/>
          <w:szCs w:val="20"/>
        </w:rPr>
        <w:t>absence de note de bas de page dans la clause relative aux services d</w:t>
      </w:r>
      <w:r w:rsidR="00C54022">
        <w:rPr>
          <w:rFonts w:ascii="Tahoma" w:hAnsi="Tahoma"/>
          <w:sz w:val="20"/>
          <w:szCs w:val="20"/>
        </w:rPr>
        <w:t>’</w:t>
      </w:r>
      <w:r w:rsidRPr="00C54022">
        <w:rPr>
          <w:rFonts w:ascii="Tahoma" w:hAnsi="Tahoma"/>
          <w:sz w:val="20"/>
          <w:szCs w:val="20"/>
        </w:rPr>
        <w:t xml:space="preserve">éducation financés par des fonds privés, contrairement à celle concernant les autres services publics, dont les services de santé et sociaux. Un autre point concerne </w:t>
      </w:r>
      <w:r w:rsidRPr="00C54022">
        <w:rPr>
          <w:rFonts w:ascii="Tahoma" w:hAnsi="Tahoma"/>
          <w:i/>
          <w:sz w:val="20"/>
          <w:szCs w:val="20"/>
          <w:u w:val="single"/>
        </w:rPr>
        <w:t>le lien entre les services d</w:t>
      </w:r>
      <w:r w:rsidR="00C54022">
        <w:rPr>
          <w:rFonts w:ascii="Tahoma" w:hAnsi="Tahoma"/>
          <w:i/>
          <w:sz w:val="20"/>
          <w:szCs w:val="20"/>
          <w:u w:val="single"/>
        </w:rPr>
        <w:t>’</w:t>
      </w:r>
      <w:r w:rsidRPr="00C54022">
        <w:rPr>
          <w:rFonts w:ascii="Tahoma" w:hAnsi="Tahoma"/>
          <w:i/>
          <w:sz w:val="20"/>
          <w:szCs w:val="20"/>
          <w:u w:val="single"/>
        </w:rPr>
        <w:t>éducation et le commerce électronique</w:t>
      </w:r>
      <w:r w:rsidRPr="00C54022">
        <w:rPr>
          <w:rFonts w:ascii="Tahoma" w:hAnsi="Tahoma"/>
          <w:sz w:val="20"/>
          <w:szCs w:val="20"/>
        </w:rPr>
        <w:t>, qui devient de plus en plus important compte tenu de l</w:t>
      </w:r>
      <w:r w:rsidR="00C54022">
        <w:rPr>
          <w:rFonts w:ascii="Tahoma" w:hAnsi="Tahoma"/>
          <w:sz w:val="20"/>
          <w:szCs w:val="20"/>
        </w:rPr>
        <w:t>’</w:t>
      </w:r>
      <w:r w:rsidRPr="00C54022">
        <w:rPr>
          <w:rFonts w:ascii="Tahoma" w:hAnsi="Tahoma"/>
          <w:sz w:val="20"/>
          <w:szCs w:val="20"/>
        </w:rPr>
        <w:t>évolution de l</w:t>
      </w:r>
      <w:r w:rsidR="00C54022">
        <w:rPr>
          <w:rFonts w:ascii="Tahoma" w:hAnsi="Tahoma"/>
          <w:sz w:val="20"/>
          <w:szCs w:val="20"/>
        </w:rPr>
        <w:t>’</w:t>
      </w:r>
      <w:r w:rsidRPr="00C54022">
        <w:rPr>
          <w:rFonts w:ascii="Tahoma" w:hAnsi="Tahoma"/>
          <w:sz w:val="20"/>
          <w:szCs w:val="20"/>
        </w:rPr>
        <w:t>apprentissage en ligne et des matériels d</w:t>
      </w:r>
      <w:r w:rsidR="00C54022">
        <w:rPr>
          <w:rFonts w:ascii="Tahoma" w:hAnsi="Tahoma"/>
          <w:sz w:val="20"/>
          <w:szCs w:val="20"/>
        </w:rPr>
        <w:t>’</w:t>
      </w:r>
      <w:r w:rsidRPr="00C54022">
        <w:rPr>
          <w:rFonts w:ascii="Tahoma" w:hAnsi="Tahoma"/>
          <w:sz w:val="20"/>
          <w:szCs w:val="20"/>
        </w:rPr>
        <w:t xml:space="preserve">éducation électroniques. </w:t>
      </w:r>
    </w:p>
    <w:p w14:paraId="3A7F9337" w14:textId="77777777" w:rsidR="00415D65" w:rsidRPr="00C54022" w:rsidRDefault="00415D65" w:rsidP="00596913">
      <w:pPr>
        <w:rPr>
          <w:rFonts w:ascii="Tahoma" w:hAnsi="Tahoma" w:cs="Tahoma"/>
          <w:sz w:val="20"/>
          <w:szCs w:val="20"/>
        </w:rPr>
      </w:pPr>
    </w:p>
    <w:p w14:paraId="6E387072" w14:textId="0916DA41" w:rsidR="00060AA0" w:rsidRPr="00C54022" w:rsidRDefault="0061771C" w:rsidP="00596913">
      <w:pPr>
        <w:rPr>
          <w:rFonts w:ascii="Tahoma" w:hAnsi="Tahoma" w:cs="Tahoma"/>
          <w:sz w:val="20"/>
          <w:szCs w:val="20"/>
        </w:rPr>
      </w:pPr>
      <w:r w:rsidRPr="00C54022">
        <w:rPr>
          <w:rFonts w:ascii="Tahoma" w:hAnsi="Tahoma"/>
          <w:sz w:val="20"/>
          <w:szCs w:val="20"/>
        </w:rPr>
        <w:t>Le Parlement européen a adopté ses</w:t>
      </w:r>
      <w:r w:rsidR="00E7296B">
        <w:rPr>
          <w:rFonts w:ascii="Tahoma" w:hAnsi="Tahoma"/>
          <w:sz w:val="20"/>
          <w:szCs w:val="20"/>
        </w:rPr>
        <w:t xml:space="preserve"> </w:t>
      </w:r>
      <w:hyperlink r:id="rId18" w:history="1">
        <w:r w:rsidRPr="00C54022">
          <w:rPr>
            <w:rStyle w:val="Hyperlink"/>
            <w:rFonts w:ascii="Tahoma" w:hAnsi="Tahoma"/>
            <w:sz w:val="20"/>
            <w:szCs w:val="20"/>
          </w:rPr>
          <w:t>recommandations sur l</w:t>
        </w:r>
        <w:r w:rsidR="00C54022">
          <w:rPr>
            <w:rStyle w:val="Hyperlink"/>
            <w:rFonts w:ascii="Tahoma" w:hAnsi="Tahoma"/>
            <w:sz w:val="20"/>
            <w:szCs w:val="20"/>
          </w:rPr>
          <w:t>’</w:t>
        </w:r>
        <w:r w:rsidRPr="00C54022">
          <w:rPr>
            <w:rStyle w:val="Hyperlink"/>
            <w:rFonts w:ascii="Tahoma" w:hAnsi="Tahoma"/>
            <w:sz w:val="20"/>
            <w:szCs w:val="20"/>
          </w:rPr>
          <w:t>ACS</w:t>
        </w:r>
      </w:hyperlink>
      <w:r w:rsidRPr="00C54022">
        <w:t xml:space="preserve"> </w:t>
      </w:r>
      <w:r w:rsidRPr="00C54022">
        <w:rPr>
          <w:rFonts w:ascii="Tahoma" w:hAnsi="Tahoma"/>
          <w:sz w:val="20"/>
          <w:szCs w:val="20"/>
        </w:rPr>
        <w:t>le 3 février 2016. Les recommandations soulignaient la nécessité d</w:t>
      </w:r>
      <w:r w:rsidR="00C54022">
        <w:rPr>
          <w:rFonts w:ascii="Tahoma" w:hAnsi="Tahoma"/>
          <w:sz w:val="20"/>
          <w:szCs w:val="20"/>
        </w:rPr>
        <w:t>’</w:t>
      </w:r>
      <w:r w:rsidRPr="00C54022">
        <w:rPr>
          <w:rFonts w:ascii="Tahoma" w:hAnsi="Tahoma"/>
          <w:sz w:val="20"/>
          <w:szCs w:val="20"/>
        </w:rPr>
        <w:t>exclure « les actuels et futurs services d</w:t>
      </w:r>
      <w:r w:rsidR="00C54022">
        <w:rPr>
          <w:rFonts w:ascii="Tahoma" w:hAnsi="Tahoma"/>
          <w:sz w:val="20"/>
          <w:szCs w:val="20"/>
        </w:rPr>
        <w:t>’</w:t>
      </w:r>
      <w:r w:rsidRPr="00C54022">
        <w:rPr>
          <w:rFonts w:ascii="Tahoma" w:hAnsi="Tahoma"/>
          <w:sz w:val="20"/>
          <w:szCs w:val="20"/>
        </w:rPr>
        <w:t>intérêt général et services d</w:t>
      </w:r>
      <w:r w:rsidR="00C54022">
        <w:rPr>
          <w:rFonts w:ascii="Tahoma" w:hAnsi="Tahoma"/>
          <w:sz w:val="20"/>
          <w:szCs w:val="20"/>
        </w:rPr>
        <w:t>’</w:t>
      </w:r>
      <w:r w:rsidRPr="00C54022">
        <w:rPr>
          <w:rFonts w:ascii="Tahoma" w:hAnsi="Tahoma"/>
          <w:sz w:val="20"/>
          <w:szCs w:val="20"/>
        </w:rPr>
        <w:t>intérêt économique général du champ d</w:t>
      </w:r>
      <w:r w:rsidR="00C54022">
        <w:rPr>
          <w:rFonts w:ascii="Tahoma" w:hAnsi="Tahoma"/>
          <w:sz w:val="20"/>
          <w:szCs w:val="20"/>
        </w:rPr>
        <w:t>’</w:t>
      </w:r>
      <w:r w:rsidRPr="00C54022">
        <w:rPr>
          <w:rFonts w:ascii="Tahoma" w:hAnsi="Tahoma"/>
          <w:sz w:val="20"/>
          <w:szCs w:val="20"/>
        </w:rPr>
        <w:t>application de l</w:t>
      </w:r>
      <w:r w:rsidR="00C54022">
        <w:rPr>
          <w:rFonts w:ascii="Tahoma" w:hAnsi="Tahoma"/>
          <w:sz w:val="20"/>
          <w:szCs w:val="20"/>
        </w:rPr>
        <w:t>’</w:t>
      </w:r>
      <w:r w:rsidRPr="00C54022">
        <w:rPr>
          <w:rFonts w:ascii="Tahoma" w:hAnsi="Tahoma"/>
          <w:sz w:val="20"/>
          <w:szCs w:val="20"/>
        </w:rPr>
        <w:t>accord (notamment mais sans s</w:t>
      </w:r>
      <w:r w:rsidR="00C54022">
        <w:rPr>
          <w:rFonts w:ascii="Tahoma" w:hAnsi="Tahoma"/>
          <w:sz w:val="20"/>
          <w:szCs w:val="20"/>
        </w:rPr>
        <w:t>’</w:t>
      </w:r>
      <w:r w:rsidRPr="00C54022">
        <w:rPr>
          <w:rFonts w:ascii="Tahoma" w:hAnsi="Tahoma"/>
          <w:sz w:val="20"/>
          <w:szCs w:val="20"/>
        </w:rPr>
        <w:t>y limiter, l</w:t>
      </w:r>
      <w:r w:rsidR="00C54022">
        <w:rPr>
          <w:rFonts w:ascii="Tahoma" w:hAnsi="Tahoma"/>
          <w:sz w:val="20"/>
          <w:szCs w:val="20"/>
        </w:rPr>
        <w:t>’</w:t>
      </w:r>
      <w:r w:rsidRPr="00C54022">
        <w:rPr>
          <w:rFonts w:ascii="Tahoma" w:hAnsi="Tahoma"/>
          <w:sz w:val="20"/>
          <w:szCs w:val="20"/>
        </w:rPr>
        <w:t>eau, la santé, les services sociaux, les systèmes de sécurité sociale et l</w:t>
      </w:r>
      <w:r w:rsidR="00C54022">
        <w:rPr>
          <w:rFonts w:ascii="Tahoma" w:hAnsi="Tahoma"/>
          <w:sz w:val="20"/>
          <w:szCs w:val="20"/>
        </w:rPr>
        <w:t>’</w:t>
      </w:r>
      <w:r w:rsidRPr="00C54022">
        <w:rPr>
          <w:rFonts w:ascii="Tahoma" w:hAnsi="Tahoma"/>
          <w:sz w:val="20"/>
          <w:szCs w:val="20"/>
        </w:rPr>
        <w:t>éducation, la gestion des déchets et les transports publics) ». Le PE a répété que l</w:t>
      </w:r>
      <w:r w:rsidR="00C54022">
        <w:rPr>
          <w:rFonts w:ascii="Tahoma" w:hAnsi="Tahoma"/>
          <w:sz w:val="20"/>
          <w:szCs w:val="20"/>
        </w:rPr>
        <w:t>’</w:t>
      </w:r>
      <w:r w:rsidRPr="00C54022">
        <w:rPr>
          <w:rFonts w:ascii="Tahoma" w:hAnsi="Tahoma"/>
          <w:sz w:val="20"/>
          <w:szCs w:val="20"/>
        </w:rPr>
        <w:t>Union européenne, les autorités nationales et locales doivent conserver sans réserve le droit d</w:t>
      </w:r>
      <w:r w:rsidR="00C54022">
        <w:rPr>
          <w:rFonts w:ascii="Tahoma" w:hAnsi="Tahoma"/>
          <w:sz w:val="20"/>
          <w:szCs w:val="20"/>
        </w:rPr>
        <w:t>’</w:t>
      </w:r>
      <w:r w:rsidRPr="00C54022">
        <w:rPr>
          <w:rFonts w:ascii="Tahoma" w:hAnsi="Tahoma"/>
          <w:sz w:val="20"/>
          <w:szCs w:val="20"/>
        </w:rPr>
        <w:t>introduire, d</w:t>
      </w:r>
      <w:r w:rsidR="00C54022">
        <w:rPr>
          <w:rFonts w:ascii="Tahoma" w:hAnsi="Tahoma"/>
          <w:sz w:val="20"/>
          <w:szCs w:val="20"/>
        </w:rPr>
        <w:t>’</w:t>
      </w:r>
      <w:r w:rsidRPr="00C54022">
        <w:rPr>
          <w:rFonts w:ascii="Tahoma" w:hAnsi="Tahoma"/>
          <w:sz w:val="20"/>
          <w:szCs w:val="20"/>
        </w:rPr>
        <w:t>adopter, de maintenir ou d</w:t>
      </w:r>
      <w:r w:rsidR="00C54022">
        <w:rPr>
          <w:rFonts w:ascii="Tahoma" w:hAnsi="Tahoma"/>
          <w:sz w:val="20"/>
          <w:szCs w:val="20"/>
        </w:rPr>
        <w:t>’</w:t>
      </w:r>
      <w:r w:rsidRPr="00C54022">
        <w:rPr>
          <w:rFonts w:ascii="Tahoma" w:hAnsi="Tahoma"/>
          <w:sz w:val="20"/>
          <w:szCs w:val="20"/>
        </w:rPr>
        <w:t>abroger toute mesure relative à la mise en service, l</w:t>
      </w:r>
      <w:r w:rsidR="00C54022">
        <w:rPr>
          <w:rFonts w:ascii="Tahoma" w:hAnsi="Tahoma"/>
          <w:sz w:val="20"/>
          <w:szCs w:val="20"/>
        </w:rPr>
        <w:t>’</w:t>
      </w:r>
      <w:r w:rsidRPr="00C54022">
        <w:rPr>
          <w:rFonts w:ascii="Tahoma" w:hAnsi="Tahoma"/>
          <w:sz w:val="20"/>
          <w:szCs w:val="20"/>
        </w:rPr>
        <w:t xml:space="preserve">organisation, le financement et la fourniture de services publics. Le PE a également déclaré que cette exclusion devra être appliquée, </w:t>
      </w:r>
      <w:r w:rsidRPr="00C54022">
        <w:rPr>
          <w:rFonts w:ascii="Tahoma" w:hAnsi="Tahoma"/>
          <w:sz w:val="20"/>
          <w:szCs w:val="20"/>
        </w:rPr>
        <w:lastRenderedPageBreak/>
        <w:t>indépendamment de la manière dont les services publics sont fournis et financés. Il a aussi appelé la Commission européenne à reconnaître le fort attachement des citoyens européens à des services publics de qualité qui contribuent à la cohésion sociale et territoriale. Le PE exige, en outre, l</w:t>
      </w:r>
      <w:r w:rsidR="00C54022">
        <w:rPr>
          <w:rFonts w:ascii="Tahoma" w:hAnsi="Tahoma"/>
          <w:sz w:val="20"/>
          <w:szCs w:val="20"/>
        </w:rPr>
        <w:t>’</w:t>
      </w:r>
      <w:r w:rsidRPr="00C54022">
        <w:rPr>
          <w:rFonts w:ascii="Tahoma" w:hAnsi="Tahoma"/>
          <w:sz w:val="20"/>
          <w:szCs w:val="20"/>
        </w:rPr>
        <w:t>introduction d</w:t>
      </w:r>
      <w:r w:rsidR="00C54022">
        <w:rPr>
          <w:rFonts w:ascii="Tahoma" w:hAnsi="Tahoma"/>
          <w:sz w:val="20"/>
          <w:szCs w:val="20"/>
        </w:rPr>
        <w:t>’</w:t>
      </w:r>
      <w:r w:rsidRPr="00C54022">
        <w:rPr>
          <w:rFonts w:ascii="Tahoma" w:hAnsi="Tahoma"/>
          <w:sz w:val="20"/>
          <w:szCs w:val="20"/>
        </w:rPr>
        <w:t xml:space="preserve">une clause </w:t>
      </w:r>
      <w:r w:rsidR="00E7296B">
        <w:rPr>
          <w:rFonts w:ascii="Tahoma" w:hAnsi="Tahoma"/>
          <w:sz w:val="20"/>
          <w:szCs w:val="20"/>
        </w:rPr>
        <w:t>« </w:t>
      </w:r>
      <w:r w:rsidRPr="00C54022">
        <w:rPr>
          <w:rFonts w:ascii="Tahoma" w:hAnsi="Tahoma"/>
          <w:sz w:val="20"/>
          <w:szCs w:val="20"/>
        </w:rPr>
        <w:t>de référence</w:t>
      </w:r>
      <w:r w:rsidR="00E7296B">
        <w:rPr>
          <w:rFonts w:ascii="Tahoma" w:hAnsi="Tahoma"/>
          <w:sz w:val="20"/>
          <w:szCs w:val="20"/>
        </w:rPr>
        <w:t> »</w:t>
      </w:r>
      <w:r w:rsidRPr="00C54022">
        <w:rPr>
          <w:rFonts w:ascii="Tahoma" w:hAnsi="Tahoma"/>
          <w:sz w:val="20"/>
          <w:szCs w:val="20"/>
        </w:rPr>
        <w:t>. Cette clause pourrait être incluse dans tous les accords commerciaux et garantirait que la clause relative aux services publics s</w:t>
      </w:r>
      <w:r w:rsidR="00C54022">
        <w:rPr>
          <w:rFonts w:ascii="Tahoma" w:hAnsi="Tahoma"/>
          <w:sz w:val="20"/>
          <w:szCs w:val="20"/>
        </w:rPr>
        <w:t>’</w:t>
      </w:r>
      <w:r w:rsidRPr="00C54022">
        <w:rPr>
          <w:rFonts w:ascii="Tahoma" w:hAnsi="Tahoma"/>
          <w:sz w:val="20"/>
          <w:szCs w:val="20"/>
        </w:rPr>
        <w:t>applique à tous les modes de prestation, à tous les services considérés comme des services publics par les autorités européennes, nationales ou régionales dans tous les secteurs et quel que soit le statut de monopole du service. L</w:t>
      </w:r>
      <w:r w:rsidR="00C54022">
        <w:rPr>
          <w:rFonts w:ascii="Tahoma" w:hAnsi="Tahoma"/>
          <w:sz w:val="20"/>
          <w:szCs w:val="20"/>
        </w:rPr>
        <w:t>’</w:t>
      </w:r>
      <w:r w:rsidRPr="00C54022">
        <w:rPr>
          <w:rFonts w:ascii="Tahoma" w:hAnsi="Tahoma"/>
          <w:sz w:val="20"/>
          <w:szCs w:val="20"/>
        </w:rPr>
        <w:t>éducation en ferait partie, ce qui n</w:t>
      </w:r>
      <w:r w:rsidR="00C54022">
        <w:rPr>
          <w:rFonts w:ascii="Tahoma" w:hAnsi="Tahoma"/>
          <w:sz w:val="20"/>
          <w:szCs w:val="20"/>
        </w:rPr>
        <w:t>’</w:t>
      </w:r>
      <w:r w:rsidRPr="00C54022">
        <w:rPr>
          <w:rFonts w:ascii="Tahoma" w:hAnsi="Tahoma"/>
          <w:sz w:val="20"/>
          <w:szCs w:val="20"/>
        </w:rPr>
        <w:t>était pas le cas précédemment.</w:t>
      </w:r>
      <w:r w:rsidRPr="00C54022">
        <w:t xml:space="preserve"> </w:t>
      </w:r>
      <w:r w:rsidR="00E7296B" w:rsidRPr="00C54022">
        <w:rPr>
          <w:rFonts w:ascii="Tahoma" w:hAnsi="Tahoma"/>
          <w:sz w:val="20"/>
          <w:szCs w:val="20"/>
        </w:rPr>
        <w:t>À</w:t>
      </w:r>
      <w:r w:rsidRPr="00C54022">
        <w:rPr>
          <w:rFonts w:ascii="Tahoma" w:hAnsi="Tahoma"/>
          <w:sz w:val="20"/>
          <w:szCs w:val="20"/>
        </w:rPr>
        <w:t xml:space="preserve"> quelques voix près, les recommandations ont rejeté l</w:t>
      </w:r>
      <w:r w:rsidR="00C54022">
        <w:rPr>
          <w:rFonts w:ascii="Tahoma" w:hAnsi="Tahoma"/>
          <w:sz w:val="20"/>
          <w:szCs w:val="20"/>
        </w:rPr>
        <w:t>’</w:t>
      </w:r>
      <w:r w:rsidRPr="00C54022">
        <w:rPr>
          <w:rFonts w:ascii="Tahoma" w:hAnsi="Tahoma"/>
          <w:sz w:val="20"/>
          <w:szCs w:val="20"/>
        </w:rPr>
        <w:t>inclusion des clauses de statu quo et à effet de cliquet qui ne permettraient pas de revenir sur les libéralisations passées et pourraient déboucher sur des niveaux toujours plus importants de libéralisation. Le PE appelle à conserver suffisamment de flexibilité pour pouvoir réintégrer les services d</w:t>
      </w:r>
      <w:r w:rsidR="00C54022">
        <w:rPr>
          <w:rFonts w:ascii="Tahoma" w:hAnsi="Tahoma"/>
          <w:sz w:val="20"/>
          <w:szCs w:val="20"/>
        </w:rPr>
        <w:t>’</w:t>
      </w:r>
      <w:r w:rsidRPr="00C54022">
        <w:rPr>
          <w:rFonts w:ascii="Tahoma" w:hAnsi="Tahoma"/>
          <w:sz w:val="20"/>
          <w:szCs w:val="20"/>
        </w:rPr>
        <w:t>intérêt économique général dans le giron public ; et conserver le droit de l</w:t>
      </w:r>
      <w:r w:rsidR="00C54022">
        <w:rPr>
          <w:rFonts w:ascii="Tahoma" w:hAnsi="Tahoma"/>
          <w:sz w:val="20"/>
          <w:szCs w:val="20"/>
        </w:rPr>
        <w:t>’</w:t>
      </w:r>
      <w:r w:rsidRPr="00C54022">
        <w:rPr>
          <w:rFonts w:ascii="Tahoma" w:hAnsi="Tahoma"/>
          <w:sz w:val="20"/>
          <w:szCs w:val="20"/>
        </w:rPr>
        <w:t>UE et des États membres de modifier leur niveau de libéralisation.</w:t>
      </w:r>
    </w:p>
    <w:p w14:paraId="75B009AB" w14:textId="54212244" w:rsidR="00512E66" w:rsidRPr="00C54022" w:rsidRDefault="00363C21" w:rsidP="00596913">
      <w:pPr>
        <w:rPr>
          <w:rFonts w:ascii="Tahoma" w:hAnsi="Tahoma" w:cs="Tahoma"/>
          <w:sz w:val="20"/>
          <w:szCs w:val="20"/>
        </w:rPr>
      </w:pPr>
      <w:r w:rsidRPr="00C54022">
        <w:rPr>
          <w:rFonts w:ascii="Tahoma" w:hAnsi="Tahoma"/>
          <w:sz w:val="20"/>
          <w:szCs w:val="20"/>
        </w:rPr>
        <w:t xml:space="preserve">    </w:t>
      </w:r>
    </w:p>
    <w:p w14:paraId="7D6FD775" w14:textId="10A0830A" w:rsidR="00987410" w:rsidRPr="00C54022" w:rsidRDefault="00987410" w:rsidP="00596913">
      <w:pPr>
        <w:pStyle w:val="ListParagraph"/>
        <w:numPr>
          <w:ilvl w:val="0"/>
          <w:numId w:val="34"/>
        </w:numPr>
        <w:rPr>
          <w:rFonts w:ascii="Tahoma" w:hAnsi="Tahoma" w:cs="Tahoma"/>
          <w:b/>
          <w:sz w:val="20"/>
          <w:szCs w:val="20"/>
        </w:rPr>
      </w:pPr>
      <w:r w:rsidRPr="00C54022">
        <w:rPr>
          <w:rFonts w:ascii="Tahoma" w:hAnsi="Tahoma"/>
          <w:b/>
          <w:sz w:val="20"/>
          <w:szCs w:val="20"/>
        </w:rPr>
        <w:t>Le Partenariat transatlantique de commerce et d</w:t>
      </w:r>
      <w:r w:rsidR="00C54022">
        <w:rPr>
          <w:rFonts w:ascii="Tahoma" w:hAnsi="Tahoma"/>
          <w:b/>
          <w:sz w:val="20"/>
          <w:szCs w:val="20"/>
        </w:rPr>
        <w:t>’</w:t>
      </w:r>
      <w:r w:rsidRPr="00C54022">
        <w:rPr>
          <w:rFonts w:ascii="Tahoma" w:hAnsi="Tahoma"/>
          <w:b/>
          <w:sz w:val="20"/>
          <w:szCs w:val="20"/>
        </w:rPr>
        <w:t>investissement (TTIP)</w:t>
      </w:r>
    </w:p>
    <w:p w14:paraId="46A9AAC0" w14:textId="77777777" w:rsidR="005F41D8" w:rsidRPr="00C54022" w:rsidRDefault="005F41D8" w:rsidP="00596913">
      <w:pPr>
        <w:pStyle w:val="ListParagraph"/>
        <w:ind w:left="360"/>
        <w:rPr>
          <w:rFonts w:ascii="Tahoma" w:hAnsi="Tahoma" w:cs="Tahoma"/>
          <w:b/>
          <w:sz w:val="20"/>
          <w:szCs w:val="20"/>
        </w:rPr>
      </w:pPr>
    </w:p>
    <w:p w14:paraId="76085C57" w14:textId="4E71B058" w:rsidR="00987410" w:rsidRPr="00C54022" w:rsidRDefault="00987410" w:rsidP="00596913">
      <w:pPr>
        <w:rPr>
          <w:rFonts w:ascii="Tahoma" w:hAnsi="Tahoma" w:cs="Tahoma"/>
          <w:sz w:val="20"/>
          <w:szCs w:val="20"/>
        </w:rPr>
      </w:pPr>
      <w:r w:rsidRPr="00C54022">
        <w:rPr>
          <w:rFonts w:ascii="Tahoma" w:hAnsi="Tahoma"/>
          <w:sz w:val="20"/>
          <w:szCs w:val="20"/>
        </w:rPr>
        <w:t>Le Partenariat transatlantique de commerce et d</w:t>
      </w:r>
      <w:r w:rsidR="00C54022">
        <w:rPr>
          <w:rFonts w:ascii="Tahoma" w:hAnsi="Tahoma"/>
          <w:sz w:val="20"/>
          <w:szCs w:val="20"/>
        </w:rPr>
        <w:t>’</w:t>
      </w:r>
      <w:r w:rsidRPr="00C54022">
        <w:rPr>
          <w:rFonts w:ascii="Tahoma" w:hAnsi="Tahoma"/>
          <w:sz w:val="20"/>
          <w:szCs w:val="20"/>
        </w:rPr>
        <w:t>investissement (TTIP) est un accord global de commerce et d</w:t>
      </w:r>
      <w:r w:rsidR="00C54022">
        <w:rPr>
          <w:rFonts w:ascii="Tahoma" w:hAnsi="Tahoma"/>
          <w:sz w:val="20"/>
          <w:szCs w:val="20"/>
        </w:rPr>
        <w:t>’</w:t>
      </w:r>
      <w:r w:rsidRPr="00C54022">
        <w:rPr>
          <w:rFonts w:ascii="Tahoma" w:hAnsi="Tahoma"/>
          <w:sz w:val="20"/>
          <w:szCs w:val="20"/>
        </w:rPr>
        <w:t>investissement en cours de négociation entre l</w:t>
      </w:r>
      <w:r w:rsidR="00C54022">
        <w:rPr>
          <w:rFonts w:ascii="Tahoma" w:hAnsi="Tahoma"/>
          <w:sz w:val="20"/>
          <w:szCs w:val="20"/>
        </w:rPr>
        <w:t>’</w:t>
      </w:r>
      <w:r w:rsidRPr="00C54022">
        <w:rPr>
          <w:rFonts w:ascii="Tahoma" w:hAnsi="Tahoma"/>
          <w:sz w:val="20"/>
          <w:szCs w:val="20"/>
        </w:rPr>
        <w:t>Union européenne et les États-Unis. Les négociations visent à réduire voire à éliminer tous les obstacles à l</w:t>
      </w:r>
      <w:r w:rsidR="00C54022">
        <w:rPr>
          <w:rFonts w:ascii="Tahoma" w:hAnsi="Tahoma"/>
          <w:sz w:val="20"/>
          <w:szCs w:val="20"/>
        </w:rPr>
        <w:t>’</w:t>
      </w:r>
      <w:r w:rsidRPr="00C54022">
        <w:rPr>
          <w:rFonts w:ascii="Tahoma" w:hAnsi="Tahoma"/>
          <w:sz w:val="20"/>
          <w:szCs w:val="20"/>
        </w:rPr>
        <w:t>échange de biens et de services, à garantir les droits des investisseurs et à promouvoir la coopération réglementaire. Les négociations du TTIP ont commencé en juillet 2013 et 14 cycles de négociation ont déjà eu lieu. Le dernier cycle de négociation s</w:t>
      </w:r>
      <w:r w:rsidR="00C54022">
        <w:rPr>
          <w:rFonts w:ascii="Tahoma" w:hAnsi="Tahoma"/>
          <w:sz w:val="20"/>
          <w:szCs w:val="20"/>
        </w:rPr>
        <w:t>’</w:t>
      </w:r>
      <w:r w:rsidRPr="00C54022">
        <w:rPr>
          <w:rFonts w:ascii="Tahoma" w:hAnsi="Tahoma"/>
          <w:sz w:val="20"/>
          <w:szCs w:val="20"/>
        </w:rPr>
        <w:t>est déroulé à Bruxelles, du 11 au 15 juillet, et le prochain cycle aura lieu du 3 au 7 octobre. Les négociations ont traîné en longueur et, récemment, plusieurs ministres des États membres de l</w:t>
      </w:r>
      <w:r w:rsidR="00C54022">
        <w:rPr>
          <w:rFonts w:ascii="Tahoma" w:hAnsi="Tahoma"/>
          <w:sz w:val="20"/>
          <w:szCs w:val="20"/>
        </w:rPr>
        <w:t>’</w:t>
      </w:r>
      <w:r w:rsidRPr="00C54022">
        <w:rPr>
          <w:rFonts w:ascii="Tahoma" w:hAnsi="Tahoma"/>
          <w:sz w:val="20"/>
          <w:szCs w:val="20"/>
        </w:rPr>
        <w:t xml:space="preserve">UE ont fait part de leur frustration </w:t>
      </w:r>
      <w:r w:rsidR="00BA66C4">
        <w:rPr>
          <w:rFonts w:ascii="Tahoma" w:hAnsi="Tahoma"/>
          <w:sz w:val="20"/>
          <w:szCs w:val="20"/>
        </w:rPr>
        <w:t>à cet égard</w:t>
      </w:r>
      <w:r w:rsidRPr="00C54022">
        <w:rPr>
          <w:rFonts w:ascii="Tahoma" w:hAnsi="Tahoma"/>
          <w:sz w:val="20"/>
          <w:szCs w:val="20"/>
        </w:rPr>
        <w:t xml:space="preserve"> et suggéré de les suspendre ou de les relancer sous une autre appellation. Cependant, il est trop tôt pour annoncer la mort des négociations et la CE a indiqué son intérêt pour de nouveaux cycles de pourparlers dans les mois à venir, tout en reconnaissant qu</w:t>
      </w:r>
      <w:r w:rsidR="00C54022">
        <w:rPr>
          <w:rFonts w:ascii="Tahoma" w:hAnsi="Tahoma"/>
          <w:sz w:val="20"/>
          <w:szCs w:val="20"/>
        </w:rPr>
        <w:t>’</w:t>
      </w:r>
      <w:r w:rsidRPr="00C54022">
        <w:rPr>
          <w:rFonts w:ascii="Tahoma" w:hAnsi="Tahoma"/>
          <w:sz w:val="20"/>
          <w:szCs w:val="20"/>
        </w:rPr>
        <w:t>il est peu probable que les négociations soient achevées avant la fin du mandat de l</w:t>
      </w:r>
      <w:r w:rsidR="00C54022">
        <w:rPr>
          <w:rFonts w:ascii="Tahoma" w:hAnsi="Tahoma"/>
          <w:sz w:val="20"/>
          <w:szCs w:val="20"/>
        </w:rPr>
        <w:t>’</w:t>
      </w:r>
      <w:r w:rsidRPr="00C54022">
        <w:rPr>
          <w:rFonts w:ascii="Tahoma" w:hAnsi="Tahoma"/>
          <w:sz w:val="20"/>
          <w:szCs w:val="20"/>
        </w:rPr>
        <w:t xml:space="preserve">administration Obama. En raison des élections américaines en novembre prochain, les négociations risquent de </w:t>
      </w:r>
      <w:r w:rsidR="00623F7A">
        <w:rPr>
          <w:rFonts w:ascii="Tahoma" w:hAnsi="Tahoma"/>
          <w:sz w:val="20"/>
          <w:szCs w:val="20"/>
        </w:rPr>
        <w:t>piétiner</w:t>
      </w:r>
      <w:r w:rsidRPr="00C54022">
        <w:rPr>
          <w:rFonts w:ascii="Tahoma" w:hAnsi="Tahoma"/>
          <w:sz w:val="20"/>
          <w:szCs w:val="20"/>
        </w:rPr>
        <w:t xml:space="preserve"> jusqu</w:t>
      </w:r>
      <w:r w:rsidR="00C54022">
        <w:rPr>
          <w:rFonts w:ascii="Tahoma" w:hAnsi="Tahoma"/>
          <w:sz w:val="20"/>
          <w:szCs w:val="20"/>
        </w:rPr>
        <w:t>’</w:t>
      </w:r>
      <w:r w:rsidRPr="00C54022">
        <w:rPr>
          <w:rFonts w:ascii="Tahoma" w:hAnsi="Tahoma"/>
          <w:sz w:val="20"/>
          <w:szCs w:val="20"/>
        </w:rPr>
        <w:t>à l</w:t>
      </w:r>
      <w:r w:rsidR="00C54022">
        <w:rPr>
          <w:rFonts w:ascii="Tahoma" w:hAnsi="Tahoma"/>
          <w:sz w:val="20"/>
          <w:szCs w:val="20"/>
        </w:rPr>
        <w:t>’</w:t>
      </w:r>
      <w:r w:rsidRPr="00C54022">
        <w:rPr>
          <w:rFonts w:ascii="Tahoma" w:hAnsi="Tahoma"/>
          <w:sz w:val="20"/>
          <w:szCs w:val="20"/>
        </w:rPr>
        <w:t>arrivée aux affaires de la prochaine administration. Le travail préparatoire des négociateurs a démarré en 2011 avec la création par l</w:t>
      </w:r>
      <w:r w:rsidR="00C54022">
        <w:rPr>
          <w:rFonts w:ascii="Tahoma" w:hAnsi="Tahoma"/>
          <w:sz w:val="20"/>
          <w:szCs w:val="20"/>
        </w:rPr>
        <w:t>’</w:t>
      </w:r>
      <w:r w:rsidRPr="00C54022">
        <w:rPr>
          <w:rFonts w:ascii="Tahoma" w:hAnsi="Tahoma"/>
          <w:sz w:val="20"/>
          <w:szCs w:val="20"/>
        </w:rPr>
        <w:t xml:space="preserve">UE et les </w:t>
      </w:r>
      <w:r w:rsidR="0035100D" w:rsidRPr="00C54022">
        <w:rPr>
          <w:rFonts w:ascii="Tahoma" w:hAnsi="Tahoma"/>
          <w:sz w:val="20"/>
          <w:szCs w:val="20"/>
        </w:rPr>
        <w:t xml:space="preserve">États-Unis </w:t>
      </w:r>
      <w:r w:rsidRPr="00C54022">
        <w:rPr>
          <w:rFonts w:ascii="Tahoma" w:hAnsi="Tahoma"/>
          <w:sz w:val="20"/>
          <w:szCs w:val="20"/>
        </w:rPr>
        <w:t>d</w:t>
      </w:r>
      <w:r w:rsidR="00C54022">
        <w:rPr>
          <w:rFonts w:ascii="Tahoma" w:hAnsi="Tahoma"/>
          <w:sz w:val="20"/>
          <w:szCs w:val="20"/>
        </w:rPr>
        <w:t>’</w:t>
      </w:r>
      <w:r w:rsidRPr="00C54022">
        <w:rPr>
          <w:rFonts w:ascii="Tahoma" w:hAnsi="Tahoma"/>
          <w:sz w:val="20"/>
          <w:szCs w:val="20"/>
        </w:rPr>
        <w:t>un Groupe de travail de haut niveau sur l</w:t>
      </w:r>
      <w:r w:rsidR="00C54022">
        <w:rPr>
          <w:rFonts w:ascii="Tahoma" w:hAnsi="Tahoma"/>
          <w:sz w:val="20"/>
          <w:szCs w:val="20"/>
        </w:rPr>
        <w:t>’</w:t>
      </w:r>
      <w:r w:rsidRPr="00C54022">
        <w:rPr>
          <w:rFonts w:ascii="Tahoma" w:hAnsi="Tahoma"/>
          <w:sz w:val="20"/>
          <w:szCs w:val="20"/>
        </w:rPr>
        <w:t>emploi et la croissance. Son mandat consistait à explorer la faisabilité et les avantages potentiels d</w:t>
      </w:r>
      <w:r w:rsidR="00C54022">
        <w:rPr>
          <w:rFonts w:ascii="Tahoma" w:hAnsi="Tahoma"/>
          <w:sz w:val="20"/>
          <w:szCs w:val="20"/>
        </w:rPr>
        <w:t>’</w:t>
      </w:r>
      <w:r w:rsidRPr="00C54022">
        <w:rPr>
          <w:rFonts w:ascii="Tahoma" w:hAnsi="Tahoma"/>
          <w:sz w:val="20"/>
          <w:szCs w:val="20"/>
        </w:rPr>
        <w:t>un accord commercial global couvrant tous les secteurs. Le groupe de travail a conclu son mandat en recommandant d</w:t>
      </w:r>
      <w:r w:rsidR="00C54022">
        <w:rPr>
          <w:rFonts w:ascii="Tahoma" w:hAnsi="Tahoma"/>
          <w:sz w:val="20"/>
          <w:szCs w:val="20"/>
        </w:rPr>
        <w:t>’</w:t>
      </w:r>
      <w:r w:rsidRPr="00C54022">
        <w:rPr>
          <w:rFonts w:ascii="Tahoma" w:hAnsi="Tahoma"/>
          <w:sz w:val="20"/>
          <w:szCs w:val="20"/>
        </w:rPr>
        <w:t>entamer des pourparlers officiels.</w:t>
      </w:r>
    </w:p>
    <w:p w14:paraId="39CB7895" w14:textId="77777777" w:rsidR="00072FF0" w:rsidRPr="00C54022" w:rsidRDefault="00072FF0" w:rsidP="00596913">
      <w:pPr>
        <w:rPr>
          <w:rFonts w:ascii="Tahoma" w:eastAsia="MS Mincho" w:hAnsi="Tahoma" w:cs="Tahoma"/>
          <w:bCs/>
          <w:sz w:val="20"/>
          <w:szCs w:val="20"/>
          <w:lang w:eastAsia="ja-JP"/>
        </w:rPr>
      </w:pPr>
    </w:p>
    <w:p w14:paraId="4DDDB316" w14:textId="2435FDD0" w:rsidR="00695F6F" w:rsidRPr="00C54022" w:rsidRDefault="00623F7A" w:rsidP="00596913">
      <w:pPr>
        <w:rPr>
          <w:rFonts w:ascii="Tahoma" w:hAnsi="Tahoma" w:cs="Tahoma"/>
          <w:sz w:val="20"/>
          <w:szCs w:val="20"/>
        </w:rPr>
      </w:pPr>
      <w:r w:rsidRPr="00C54022">
        <w:rPr>
          <w:rFonts w:ascii="Tahoma" w:hAnsi="Tahoma"/>
          <w:bCs/>
          <w:sz w:val="20"/>
          <w:szCs w:val="20"/>
        </w:rPr>
        <w:t>À</w:t>
      </w:r>
      <w:r w:rsidR="00695F6F" w:rsidRPr="00C54022">
        <w:rPr>
          <w:rFonts w:ascii="Tahoma" w:hAnsi="Tahoma"/>
          <w:bCs/>
          <w:sz w:val="20"/>
          <w:szCs w:val="20"/>
        </w:rPr>
        <w:t xml:space="preserve"> ce jour, le RDIE est le sujet le plus controversé. Les critiques à l</w:t>
      </w:r>
      <w:r w:rsidR="00C54022">
        <w:rPr>
          <w:rFonts w:ascii="Tahoma" w:hAnsi="Tahoma"/>
          <w:bCs/>
          <w:sz w:val="20"/>
          <w:szCs w:val="20"/>
        </w:rPr>
        <w:t>’</w:t>
      </w:r>
      <w:r w:rsidR="00695F6F" w:rsidRPr="00C54022">
        <w:rPr>
          <w:rFonts w:ascii="Tahoma" w:hAnsi="Tahoma"/>
          <w:bCs/>
          <w:sz w:val="20"/>
          <w:szCs w:val="20"/>
        </w:rPr>
        <w:t>encontre du RDIE mettent en avant le fait que les sociétés démocratiques modernes ont institué une séparation des pouvoirs, à savoir entre le législatif, l</w:t>
      </w:r>
      <w:r w:rsidR="00C54022">
        <w:rPr>
          <w:rFonts w:ascii="Tahoma" w:hAnsi="Tahoma"/>
          <w:bCs/>
          <w:sz w:val="20"/>
          <w:szCs w:val="20"/>
        </w:rPr>
        <w:t>’</w:t>
      </w:r>
      <w:r w:rsidR="00695F6F" w:rsidRPr="00C54022">
        <w:rPr>
          <w:rFonts w:ascii="Tahoma" w:hAnsi="Tahoma"/>
          <w:bCs/>
          <w:sz w:val="20"/>
          <w:szCs w:val="20"/>
        </w:rPr>
        <w:t>exécutif et le judiciaire. Au contraire, le RDIE concentre les pouvoirs. Le système du RDIE donne aux arbitres le pouvoir de passer au crible toutes les décisions législatives, gouvernementales et judiciaires, et surtout, il ne respecte pas la séparation des pouvoirs, ne présente pas les garanties institutionnelles élémentaires en termes d</w:t>
      </w:r>
      <w:r w:rsidR="00C54022">
        <w:rPr>
          <w:rFonts w:ascii="Tahoma" w:hAnsi="Tahoma"/>
          <w:bCs/>
          <w:sz w:val="20"/>
          <w:szCs w:val="20"/>
        </w:rPr>
        <w:t>’</w:t>
      </w:r>
      <w:r w:rsidR="00695F6F" w:rsidRPr="00C54022">
        <w:rPr>
          <w:rFonts w:ascii="Tahoma" w:hAnsi="Tahoma"/>
          <w:bCs/>
          <w:sz w:val="20"/>
          <w:szCs w:val="20"/>
        </w:rPr>
        <w:t>indépendance judiciaire, enfin, il nuit au processus décisionnel démocratique. En mars 2014, la CE a lancé une consultation publique sur le RDIE du TTIP. Attendu de longue date, le</w:t>
      </w:r>
      <w:r w:rsidR="00695F6F" w:rsidRPr="00C54022">
        <w:t xml:space="preserve"> </w:t>
      </w:r>
      <w:hyperlink r:id="rId19" w:history="1">
        <w:r w:rsidR="00695F6F" w:rsidRPr="00C54022">
          <w:rPr>
            <w:rStyle w:val="Hyperlink"/>
            <w:rFonts w:ascii="Tahoma" w:hAnsi="Tahoma"/>
            <w:bCs/>
            <w:sz w:val="20"/>
            <w:szCs w:val="20"/>
          </w:rPr>
          <w:t>rapport</w:t>
        </w:r>
      </w:hyperlink>
      <w:r w:rsidR="00695F6F" w:rsidRPr="00C54022">
        <w:rPr>
          <w:rFonts w:ascii="Tahoma" w:hAnsi="Tahoma"/>
          <w:bCs/>
          <w:sz w:val="20"/>
          <w:szCs w:val="20"/>
        </w:rPr>
        <w:t xml:space="preserve"> de la CE relatif à la consultation publique sur le RDIE du TTIP a été publié le 13 janvier 2015. Ce rapport présentait une analyse des quelque 150 000 propositions reçues dans le cadre de la consultation publique, dont 97 pour cent des réponses étaient opposées à l</w:t>
      </w:r>
      <w:r w:rsidR="00C54022">
        <w:rPr>
          <w:rFonts w:ascii="Tahoma" w:hAnsi="Tahoma"/>
          <w:bCs/>
          <w:sz w:val="20"/>
          <w:szCs w:val="20"/>
        </w:rPr>
        <w:t>’</w:t>
      </w:r>
      <w:r w:rsidR="00695F6F" w:rsidRPr="00C54022">
        <w:rPr>
          <w:rFonts w:ascii="Tahoma" w:hAnsi="Tahoma"/>
          <w:bCs/>
          <w:sz w:val="20"/>
          <w:szCs w:val="20"/>
        </w:rPr>
        <w:t xml:space="preserve">inclusion du RDIE dans le TTIP ou, plus généralement, se prononçaient contre le TTIP. </w:t>
      </w:r>
      <w:r w:rsidR="00695F6F" w:rsidRPr="00C54022">
        <w:rPr>
          <w:rFonts w:ascii="Tahoma" w:hAnsi="Tahoma"/>
          <w:sz w:val="20"/>
          <w:szCs w:val="20"/>
        </w:rPr>
        <w:t>La CE a publié une proposition juridique en vue de l</w:t>
      </w:r>
      <w:r w:rsidR="00C54022">
        <w:rPr>
          <w:rFonts w:ascii="Tahoma" w:hAnsi="Tahoma"/>
          <w:sz w:val="20"/>
          <w:szCs w:val="20"/>
        </w:rPr>
        <w:t>’</w:t>
      </w:r>
      <w:r w:rsidR="00695F6F" w:rsidRPr="00C54022">
        <w:rPr>
          <w:rFonts w:ascii="Tahoma" w:hAnsi="Tahoma"/>
          <w:sz w:val="20"/>
          <w:szCs w:val="20"/>
        </w:rPr>
        <w:t>introduction d</w:t>
      </w:r>
      <w:r w:rsidR="00C54022">
        <w:rPr>
          <w:rFonts w:ascii="Tahoma" w:hAnsi="Tahoma"/>
          <w:sz w:val="20"/>
          <w:szCs w:val="20"/>
        </w:rPr>
        <w:t>’</w:t>
      </w:r>
      <w:r w:rsidR="00695F6F" w:rsidRPr="00C54022">
        <w:rPr>
          <w:rFonts w:ascii="Tahoma" w:hAnsi="Tahoma"/>
          <w:sz w:val="20"/>
          <w:szCs w:val="20"/>
        </w:rPr>
        <w:t>un système juridictionnel des investissements dans le TTIP. Ce qui signifierait qu</w:t>
      </w:r>
      <w:r w:rsidR="00C54022">
        <w:rPr>
          <w:rFonts w:ascii="Tahoma" w:hAnsi="Tahoma"/>
          <w:sz w:val="20"/>
          <w:szCs w:val="20"/>
        </w:rPr>
        <w:t>’</w:t>
      </w:r>
      <w:r w:rsidR="00695F6F" w:rsidRPr="00C54022">
        <w:rPr>
          <w:rFonts w:ascii="Tahoma" w:hAnsi="Tahoma"/>
          <w:sz w:val="20"/>
          <w:szCs w:val="20"/>
        </w:rPr>
        <w:t>un Système juridictionnel public des investissements composé d</w:t>
      </w:r>
      <w:r w:rsidR="00C54022">
        <w:rPr>
          <w:rFonts w:ascii="Tahoma" w:hAnsi="Tahoma"/>
          <w:sz w:val="20"/>
          <w:szCs w:val="20"/>
        </w:rPr>
        <w:t>’</w:t>
      </w:r>
      <w:r w:rsidR="00695F6F" w:rsidRPr="00C54022">
        <w:rPr>
          <w:rFonts w:ascii="Tahoma" w:hAnsi="Tahoma"/>
          <w:sz w:val="20"/>
          <w:szCs w:val="20"/>
        </w:rPr>
        <w:t>un tribunal de première instance et d</w:t>
      </w:r>
      <w:r w:rsidR="00C54022">
        <w:rPr>
          <w:rFonts w:ascii="Tahoma" w:hAnsi="Tahoma"/>
          <w:sz w:val="20"/>
          <w:szCs w:val="20"/>
        </w:rPr>
        <w:t>’</w:t>
      </w:r>
      <w:r w:rsidR="00695F6F" w:rsidRPr="00C54022">
        <w:rPr>
          <w:rFonts w:ascii="Tahoma" w:hAnsi="Tahoma"/>
          <w:sz w:val="20"/>
          <w:szCs w:val="20"/>
        </w:rPr>
        <w:t>une cour d</w:t>
      </w:r>
      <w:r w:rsidR="00C54022">
        <w:rPr>
          <w:rFonts w:ascii="Tahoma" w:hAnsi="Tahoma"/>
          <w:sz w:val="20"/>
          <w:szCs w:val="20"/>
        </w:rPr>
        <w:t>’</w:t>
      </w:r>
      <w:r w:rsidR="00695F6F" w:rsidRPr="00C54022">
        <w:rPr>
          <w:rFonts w:ascii="Tahoma" w:hAnsi="Tahoma"/>
          <w:sz w:val="20"/>
          <w:szCs w:val="20"/>
        </w:rPr>
        <w:t>appel remplacerait le mécanisme de Règlement des différends entre investisseurs et États (RDIE) du TTIP. Bien que cette proposition constitue un progrès par rapport au mécanisme classique du RDIE, les principes du système juridictionnel des investissements restent identiques à ceux du mécanisme du RDIE et, par conséquent, ce système juridictionnel ne s</w:t>
      </w:r>
      <w:r w:rsidR="00C54022">
        <w:rPr>
          <w:rFonts w:ascii="Tahoma" w:hAnsi="Tahoma"/>
          <w:sz w:val="20"/>
          <w:szCs w:val="20"/>
        </w:rPr>
        <w:t>’</w:t>
      </w:r>
      <w:r w:rsidR="00695F6F" w:rsidRPr="00C54022">
        <w:rPr>
          <w:rFonts w:ascii="Tahoma" w:hAnsi="Tahoma"/>
          <w:sz w:val="20"/>
          <w:szCs w:val="20"/>
        </w:rPr>
        <w:t>adresse qu</w:t>
      </w:r>
      <w:r w:rsidR="00C54022">
        <w:rPr>
          <w:rFonts w:ascii="Tahoma" w:hAnsi="Tahoma"/>
          <w:sz w:val="20"/>
          <w:szCs w:val="20"/>
        </w:rPr>
        <w:t>’</w:t>
      </w:r>
      <w:r w:rsidR="00695F6F" w:rsidRPr="00C54022">
        <w:rPr>
          <w:rFonts w:ascii="Tahoma" w:hAnsi="Tahoma"/>
          <w:sz w:val="20"/>
          <w:szCs w:val="20"/>
        </w:rPr>
        <w:t xml:space="preserve">aux investisseurs étrangers, leur octroyant ainsi des droits spécifiques dont ne bénéficient pas les citoyens et les investisseurs nationaux. En outre, les États-Unis ont exprimé des réserves sur la création du système juridictionnel des investissements. </w:t>
      </w:r>
    </w:p>
    <w:p w14:paraId="4D2C2D5B" w14:textId="77777777" w:rsidR="001F744F" w:rsidRPr="00C54022" w:rsidRDefault="001F744F" w:rsidP="00596913">
      <w:pPr>
        <w:rPr>
          <w:rFonts w:ascii="Tahoma" w:eastAsia="MS Mincho" w:hAnsi="Tahoma" w:cs="Tahoma"/>
          <w:bCs/>
          <w:sz w:val="20"/>
          <w:szCs w:val="20"/>
          <w:lang w:eastAsia="ja-JP"/>
        </w:rPr>
      </w:pPr>
    </w:p>
    <w:p w14:paraId="32D4D826" w14:textId="765F3D66" w:rsidR="00695F6F" w:rsidRPr="00C54022" w:rsidRDefault="00695F6F" w:rsidP="00596913">
      <w:pPr>
        <w:rPr>
          <w:rStyle w:val="Hyperlink"/>
          <w:rFonts w:ascii="Tahoma" w:eastAsia="MS Mincho" w:hAnsi="Tahoma" w:cs="Tahoma"/>
          <w:bCs/>
          <w:i/>
          <w:sz w:val="20"/>
          <w:szCs w:val="20"/>
        </w:rPr>
      </w:pPr>
      <w:r w:rsidRPr="00C54022">
        <w:t xml:space="preserve">La </w:t>
      </w:r>
      <w:hyperlink r:id="rId20" w:history="1">
        <w:r w:rsidRPr="00C54022">
          <w:rPr>
            <w:rStyle w:val="Hyperlink"/>
            <w:rFonts w:ascii="Tahoma" w:hAnsi="Tahoma"/>
            <w:bCs/>
            <w:sz w:val="20"/>
            <w:szCs w:val="20"/>
          </w:rPr>
          <w:t>déclaration du CSEE</w:t>
        </w:r>
      </w:hyperlink>
      <w:r w:rsidRPr="00C54022">
        <w:rPr>
          <w:rFonts w:ascii="Tahoma" w:hAnsi="Tahoma"/>
          <w:bCs/>
          <w:sz w:val="20"/>
          <w:szCs w:val="20"/>
        </w:rPr>
        <w:t xml:space="preserve"> relative à la protection des investissements dans l</w:t>
      </w:r>
      <w:r w:rsidR="00C54022">
        <w:rPr>
          <w:rFonts w:ascii="Tahoma" w:hAnsi="Tahoma"/>
          <w:bCs/>
          <w:sz w:val="20"/>
          <w:szCs w:val="20"/>
        </w:rPr>
        <w:t>’</w:t>
      </w:r>
      <w:r w:rsidRPr="00C54022">
        <w:rPr>
          <w:rFonts w:ascii="Tahoma" w:hAnsi="Tahoma"/>
          <w:bCs/>
          <w:sz w:val="20"/>
          <w:szCs w:val="20"/>
        </w:rPr>
        <w:t>accord sur les investissements de l</w:t>
      </w:r>
      <w:r w:rsidR="00C54022">
        <w:rPr>
          <w:rFonts w:ascii="Tahoma" w:hAnsi="Tahoma"/>
          <w:bCs/>
          <w:sz w:val="20"/>
          <w:szCs w:val="20"/>
        </w:rPr>
        <w:t>’</w:t>
      </w:r>
      <w:r w:rsidRPr="00C54022">
        <w:rPr>
          <w:rFonts w:ascii="Tahoma" w:hAnsi="Tahoma"/>
          <w:bCs/>
          <w:sz w:val="20"/>
          <w:szCs w:val="20"/>
        </w:rPr>
        <w:t xml:space="preserve">UE souligne que le mécanisme de Règlement des différends entre investisseurs et </w:t>
      </w:r>
      <w:r w:rsidRPr="00C54022">
        <w:rPr>
          <w:rFonts w:ascii="Tahoma" w:hAnsi="Tahoma"/>
          <w:bCs/>
          <w:sz w:val="20"/>
          <w:szCs w:val="20"/>
        </w:rPr>
        <w:lastRenderedPageBreak/>
        <w:t>États (RDIE) est défectueux et va à l</w:t>
      </w:r>
      <w:r w:rsidR="00C54022">
        <w:rPr>
          <w:rFonts w:ascii="Tahoma" w:hAnsi="Tahoma"/>
          <w:bCs/>
          <w:sz w:val="20"/>
          <w:szCs w:val="20"/>
        </w:rPr>
        <w:t>’</w:t>
      </w:r>
      <w:r w:rsidRPr="00C54022">
        <w:rPr>
          <w:rFonts w:ascii="Tahoma" w:hAnsi="Tahoma"/>
          <w:bCs/>
          <w:sz w:val="20"/>
          <w:szCs w:val="20"/>
        </w:rPr>
        <w:t>encontre du droit à réglementer qu</w:t>
      </w:r>
      <w:r w:rsidR="00C54022">
        <w:rPr>
          <w:rFonts w:ascii="Tahoma" w:hAnsi="Tahoma"/>
          <w:bCs/>
          <w:sz w:val="20"/>
          <w:szCs w:val="20"/>
        </w:rPr>
        <w:t>’</w:t>
      </w:r>
      <w:r w:rsidRPr="00C54022">
        <w:rPr>
          <w:rFonts w:ascii="Tahoma" w:hAnsi="Tahoma"/>
          <w:bCs/>
          <w:sz w:val="20"/>
          <w:szCs w:val="20"/>
        </w:rPr>
        <w:t>il restreint. Elle soulève certaines préoccupations concernant le secteur de l</w:t>
      </w:r>
      <w:r w:rsidR="00C54022">
        <w:rPr>
          <w:rFonts w:ascii="Tahoma" w:hAnsi="Tahoma"/>
          <w:bCs/>
          <w:sz w:val="20"/>
          <w:szCs w:val="20"/>
        </w:rPr>
        <w:t>’</w:t>
      </w:r>
      <w:r w:rsidRPr="00C54022">
        <w:rPr>
          <w:rFonts w:ascii="Tahoma" w:hAnsi="Tahoma"/>
          <w:bCs/>
          <w:sz w:val="20"/>
          <w:szCs w:val="20"/>
        </w:rPr>
        <w:t xml:space="preserve">éducation. </w:t>
      </w:r>
      <w:r w:rsidR="0035100D" w:rsidRPr="00C54022">
        <w:rPr>
          <w:rFonts w:ascii="Tahoma" w:hAnsi="Tahoma"/>
          <w:bCs/>
          <w:sz w:val="20"/>
          <w:szCs w:val="20"/>
        </w:rPr>
        <w:t>À</w:t>
      </w:r>
      <w:r w:rsidRPr="00C54022">
        <w:rPr>
          <w:rFonts w:ascii="Tahoma" w:hAnsi="Tahoma"/>
          <w:bCs/>
          <w:sz w:val="20"/>
          <w:szCs w:val="20"/>
        </w:rPr>
        <w:t xml:space="preserve"> l</w:t>
      </w:r>
      <w:r w:rsidR="00C54022">
        <w:rPr>
          <w:rFonts w:ascii="Tahoma" w:hAnsi="Tahoma"/>
          <w:bCs/>
          <w:sz w:val="20"/>
          <w:szCs w:val="20"/>
        </w:rPr>
        <w:t>’</w:t>
      </w:r>
      <w:r w:rsidRPr="00C54022">
        <w:rPr>
          <w:rFonts w:ascii="Tahoma" w:hAnsi="Tahoma"/>
          <w:bCs/>
          <w:sz w:val="20"/>
          <w:szCs w:val="20"/>
        </w:rPr>
        <w:t>avenir, les entreprises privées pourraient remettre en question les normes de qualité et d</w:t>
      </w:r>
      <w:r w:rsidR="00C54022">
        <w:rPr>
          <w:rFonts w:ascii="Tahoma" w:hAnsi="Tahoma"/>
          <w:bCs/>
          <w:sz w:val="20"/>
          <w:szCs w:val="20"/>
        </w:rPr>
        <w:t>’</w:t>
      </w:r>
      <w:r w:rsidRPr="00C54022">
        <w:rPr>
          <w:rFonts w:ascii="Tahoma" w:hAnsi="Tahoma"/>
          <w:bCs/>
          <w:sz w:val="20"/>
          <w:szCs w:val="20"/>
        </w:rPr>
        <w:t>accréditation par le biais du RDIE, si elles estimaient que ces normes constituent des « entraves déguisées au commerce » ou sont « plus contraignantes que nécessaire ». Comme le souligne la déclaration : « Ces normes en matière de qualité et d</w:t>
      </w:r>
      <w:r w:rsidR="00C54022">
        <w:rPr>
          <w:rFonts w:ascii="Tahoma" w:hAnsi="Tahoma"/>
          <w:bCs/>
          <w:sz w:val="20"/>
          <w:szCs w:val="20"/>
        </w:rPr>
        <w:t>’</w:t>
      </w:r>
      <w:r w:rsidRPr="00C54022">
        <w:rPr>
          <w:rFonts w:ascii="Tahoma" w:hAnsi="Tahoma"/>
          <w:bCs/>
          <w:sz w:val="20"/>
          <w:szCs w:val="20"/>
        </w:rPr>
        <w:t>accréditation sont essentielles pour garantir la qualité de l</w:t>
      </w:r>
      <w:r w:rsidR="00C54022">
        <w:rPr>
          <w:rFonts w:ascii="Tahoma" w:hAnsi="Tahoma"/>
          <w:bCs/>
          <w:sz w:val="20"/>
          <w:szCs w:val="20"/>
        </w:rPr>
        <w:t>’</w:t>
      </w:r>
      <w:r w:rsidRPr="00C54022">
        <w:rPr>
          <w:rFonts w:ascii="Tahoma" w:hAnsi="Tahoma"/>
          <w:bCs/>
          <w:sz w:val="20"/>
          <w:szCs w:val="20"/>
        </w:rPr>
        <w:t>enseignement et, c</w:t>
      </w:r>
      <w:r w:rsidR="00C54022">
        <w:rPr>
          <w:rFonts w:ascii="Tahoma" w:hAnsi="Tahoma"/>
          <w:bCs/>
          <w:sz w:val="20"/>
          <w:szCs w:val="20"/>
        </w:rPr>
        <w:t>’</w:t>
      </w:r>
      <w:r w:rsidRPr="00C54022">
        <w:rPr>
          <w:rFonts w:ascii="Tahoma" w:hAnsi="Tahoma"/>
          <w:bCs/>
          <w:sz w:val="20"/>
          <w:szCs w:val="20"/>
        </w:rPr>
        <w:t>est pour cette raison, que le RDIE présente des risques significatifs pour le secteur de l</w:t>
      </w:r>
      <w:r w:rsidR="00C54022">
        <w:rPr>
          <w:rFonts w:ascii="Tahoma" w:hAnsi="Tahoma"/>
          <w:bCs/>
          <w:sz w:val="20"/>
          <w:szCs w:val="20"/>
        </w:rPr>
        <w:t>’</w:t>
      </w:r>
      <w:r w:rsidRPr="00C54022">
        <w:rPr>
          <w:rFonts w:ascii="Tahoma" w:hAnsi="Tahoma"/>
          <w:bCs/>
          <w:sz w:val="20"/>
          <w:szCs w:val="20"/>
        </w:rPr>
        <w:t>éducation et la prise de décision démocratique en général ». De plus amples informations sur les questions relatives au RDIE sont fournies dans l</w:t>
      </w:r>
      <w:r w:rsidR="00C54022">
        <w:rPr>
          <w:rFonts w:ascii="Tahoma" w:hAnsi="Tahoma"/>
          <w:bCs/>
          <w:sz w:val="20"/>
          <w:szCs w:val="20"/>
        </w:rPr>
        <w:t>’</w:t>
      </w:r>
      <w:r w:rsidRPr="00C54022">
        <w:rPr>
          <w:rFonts w:ascii="Tahoma" w:hAnsi="Tahoma"/>
          <w:bCs/>
          <w:sz w:val="20"/>
          <w:szCs w:val="20"/>
        </w:rPr>
        <w:t xml:space="preserve">étude intitulée </w:t>
      </w:r>
      <w:hyperlink r:id="rId21" w:history="1">
        <w:r w:rsidRPr="00C54022">
          <w:rPr>
            <w:rStyle w:val="Hyperlink"/>
            <w:rFonts w:ascii="Tahoma" w:hAnsi="Tahoma"/>
            <w:bCs/>
            <w:i/>
            <w:sz w:val="20"/>
            <w:szCs w:val="20"/>
          </w:rPr>
          <w:t>« Modalities for investment protection and Investor-State Dispute Settlement (ISDS) in TTIP from a trade union perspective » (Les modalités de protection des investissements et du règlement des différends entre investisseurs et États dans le cadre du PTCI du point de vue des syndicats)</w:t>
        </w:r>
      </w:hyperlink>
      <w:r w:rsidRPr="00C54022">
        <w:rPr>
          <w:rStyle w:val="Hyperlink"/>
          <w:rFonts w:ascii="Tahoma" w:hAnsi="Tahoma"/>
          <w:bCs/>
          <w:i/>
          <w:sz w:val="20"/>
          <w:szCs w:val="20"/>
        </w:rPr>
        <w:t xml:space="preserve">. </w:t>
      </w:r>
    </w:p>
    <w:p w14:paraId="2A74E659" w14:textId="77777777" w:rsidR="001F744F" w:rsidRPr="00C54022" w:rsidRDefault="001F744F" w:rsidP="00596913">
      <w:pPr>
        <w:rPr>
          <w:rStyle w:val="Hyperlink"/>
          <w:rFonts w:ascii="Tahoma" w:eastAsia="MS Mincho" w:hAnsi="Tahoma" w:cs="Tahoma"/>
          <w:bCs/>
          <w:i/>
          <w:sz w:val="20"/>
          <w:szCs w:val="20"/>
          <w:lang w:eastAsia="ja-JP"/>
        </w:rPr>
      </w:pPr>
    </w:p>
    <w:p w14:paraId="61B5B52E" w14:textId="26528B45" w:rsidR="001F744F" w:rsidRPr="00C54022" w:rsidRDefault="006A711F" w:rsidP="00596913">
      <w:pPr>
        <w:rPr>
          <w:rFonts w:ascii="Tahoma" w:hAnsi="Tahoma" w:cs="Tahoma"/>
          <w:sz w:val="20"/>
          <w:szCs w:val="20"/>
        </w:rPr>
      </w:pPr>
      <w:r w:rsidRPr="00C54022">
        <w:rPr>
          <w:rFonts w:ascii="Tahoma" w:hAnsi="Tahoma"/>
          <w:sz w:val="20"/>
          <w:szCs w:val="20"/>
        </w:rPr>
        <w:t>Les offres révisées sur les services ont été échangées en juillet 2015 et font actuellement l</w:t>
      </w:r>
      <w:r w:rsidR="00C54022">
        <w:rPr>
          <w:rFonts w:ascii="Tahoma" w:hAnsi="Tahoma"/>
          <w:sz w:val="20"/>
          <w:szCs w:val="20"/>
        </w:rPr>
        <w:t>’</w:t>
      </w:r>
      <w:r w:rsidRPr="00C54022">
        <w:rPr>
          <w:rFonts w:ascii="Tahoma" w:hAnsi="Tahoma"/>
          <w:sz w:val="20"/>
          <w:szCs w:val="20"/>
        </w:rPr>
        <w:t xml:space="preserve">objet de discussions. Selon le </w:t>
      </w:r>
      <w:hyperlink r:id="rId22" w:history="1">
        <w:r w:rsidRPr="00C54022">
          <w:rPr>
            <w:rStyle w:val="Hyperlink"/>
            <w:rFonts w:ascii="Tahoma" w:hAnsi="Tahoma"/>
            <w:sz w:val="20"/>
            <w:szCs w:val="20"/>
          </w:rPr>
          <w:t>rapport de la CE</w:t>
        </w:r>
      </w:hyperlink>
      <w:r w:rsidRPr="00C54022">
        <w:rPr>
          <w:rFonts w:ascii="Tahoma" w:hAnsi="Tahoma"/>
          <w:sz w:val="20"/>
          <w:szCs w:val="20"/>
        </w:rPr>
        <w:t xml:space="preserve"> relatif au 14</w:t>
      </w:r>
      <w:r w:rsidRPr="00C54022">
        <w:rPr>
          <w:rFonts w:ascii="Tahoma" w:hAnsi="Tahoma"/>
          <w:sz w:val="20"/>
          <w:szCs w:val="20"/>
          <w:vertAlign w:val="superscript"/>
        </w:rPr>
        <w:t>ème</w:t>
      </w:r>
      <w:r w:rsidRPr="00C54022">
        <w:rPr>
          <w:rFonts w:ascii="Tahoma" w:hAnsi="Tahoma"/>
          <w:sz w:val="20"/>
          <w:szCs w:val="20"/>
        </w:rPr>
        <w:t xml:space="preserve"> cycle de négociations, les parties ont échangé des informations factuelles sur la portée de leurs offres. Les accords relatifs à la réglementation intérieure et à la reconnaissance mutuelle ont également été abordés et une consultation avec les États membres est en cours au sein de l</w:t>
      </w:r>
      <w:r w:rsidR="00C54022">
        <w:rPr>
          <w:rFonts w:ascii="Tahoma" w:hAnsi="Tahoma"/>
          <w:sz w:val="20"/>
          <w:szCs w:val="20"/>
        </w:rPr>
        <w:t>’</w:t>
      </w:r>
      <w:r w:rsidRPr="00C54022">
        <w:rPr>
          <w:rFonts w:ascii="Tahoma" w:hAnsi="Tahoma"/>
          <w:sz w:val="20"/>
          <w:szCs w:val="20"/>
        </w:rPr>
        <w:t>UE. Il est difficile de savoir si le désaccord sur l</w:t>
      </w:r>
      <w:r w:rsidR="00C54022">
        <w:rPr>
          <w:rFonts w:ascii="Tahoma" w:hAnsi="Tahoma"/>
          <w:sz w:val="20"/>
          <w:szCs w:val="20"/>
        </w:rPr>
        <w:t>’</w:t>
      </w:r>
      <w:r w:rsidRPr="00C54022">
        <w:rPr>
          <w:rFonts w:ascii="Tahoma" w:hAnsi="Tahoma"/>
          <w:sz w:val="20"/>
          <w:szCs w:val="20"/>
        </w:rPr>
        <w:t>approche par liste a été réglé. Traditionnellement, les États-Unis s</w:t>
      </w:r>
      <w:r w:rsidR="00C54022">
        <w:rPr>
          <w:rFonts w:ascii="Tahoma" w:hAnsi="Tahoma"/>
          <w:sz w:val="20"/>
          <w:szCs w:val="20"/>
        </w:rPr>
        <w:t>’</w:t>
      </w:r>
      <w:r w:rsidRPr="00C54022">
        <w:rPr>
          <w:rFonts w:ascii="Tahoma" w:hAnsi="Tahoma"/>
          <w:sz w:val="20"/>
          <w:szCs w:val="20"/>
        </w:rPr>
        <w:t>appuient sur la méthode de la liste négative, alors que l</w:t>
      </w:r>
      <w:r w:rsidR="00C54022">
        <w:rPr>
          <w:rFonts w:ascii="Tahoma" w:hAnsi="Tahoma"/>
          <w:sz w:val="20"/>
          <w:szCs w:val="20"/>
        </w:rPr>
        <w:t>’</w:t>
      </w:r>
      <w:r w:rsidRPr="00C54022">
        <w:rPr>
          <w:rFonts w:ascii="Tahoma" w:hAnsi="Tahoma"/>
          <w:sz w:val="20"/>
          <w:szCs w:val="20"/>
        </w:rPr>
        <w:t>UE utilise la méthode de la liste positive, mais l</w:t>
      </w:r>
      <w:r w:rsidR="00C54022">
        <w:rPr>
          <w:rFonts w:ascii="Tahoma" w:hAnsi="Tahoma"/>
          <w:sz w:val="20"/>
          <w:szCs w:val="20"/>
        </w:rPr>
        <w:t>’</w:t>
      </w:r>
      <w:r w:rsidRPr="00C54022">
        <w:rPr>
          <w:rFonts w:ascii="Tahoma" w:hAnsi="Tahoma"/>
          <w:sz w:val="20"/>
          <w:szCs w:val="20"/>
        </w:rPr>
        <w:t>offre sur les services de l</w:t>
      </w:r>
      <w:r w:rsidR="00C54022">
        <w:rPr>
          <w:rFonts w:ascii="Tahoma" w:hAnsi="Tahoma"/>
          <w:sz w:val="20"/>
          <w:szCs w:val="20"/>
        </w:rPr>
        <w:t>’</w:t>
      </w:r>
      <w:r w:rsidRPr="00C54022">
        <w:rPr>
          <w:rFonts w:ascii="Tahoma" w:hAnsi="Tahoma"/>
          <w:sz w:val="20"/>
          <w:szCs w:val="20"/>
        </w:rPr>
        <w:t>UE repose sur une approche hybride consistant en une liste négative pour le traitement national et une liste positive pour l</w:t>
      </w:r>
      <w:r w:rsidR="00C54022">
        <w:rPr>
          <w:rFonts w:ascii="Tahoma" w:hAnsi="Tahoma"/>
          <w:sz w:val="20"/>
          <w:szCs w:val="20"/>
        </w:rPr>
        <w:t>’</w:t>
      </w:r>
      <w:r w:rsidRPr="00C54022">
        <w:rPr>
          <w:rFonts w:ascii="Tahoma" w:hAnsi="Tahoma"/>
          <w:sz w:val="20"/>
          <w:szCs w:val="20"/>
        </w:rPr>
        <w:t>accès au marché. La Commission européenne a publié son offre révisée sur les services, le 31 juillet 2015, tout en précisant que la plupart des modifications devraient être présentées ultérieurement dans le cadre des négociations. L</w:t>
      </w:r>
      <w:r w:rsidR="00C54022">
        <w:rPr>
          <w:rFonts w:ascii="Tahoma" w:hAnsi="Tahoma"/>
          <w:sz w:val="20"/>
          <w:szCs w:val="20"/>
        </w:rPr>
        <w:t>’</w:t>
      </w:r>
      <w:r w:rsidRPr="00C54022">
        <w:rPr>
          <w:rFonts w:ascii="Tahoma" w:hAnsi="Tahoma"/>
          <w:sz w:val="20"/>
          <w:szCs w:val="20"/>
        </w:rPr>
        <w:t>accord-cadre de l</w:t>
      </w:r>
      <w:r w:rsidR="00C54022">
        <w:rPr>
          <w:rFonts w:ascii="Tahoma" w:hAnsi="Tahoma"/>
          <w:sz w:val="20"/>
          <w:szCs w:val="20"/>
        </w:rPr>
        <w:t>’</w:t>
      </w:r>
      <w:r w:rsidRPr="00C54022">
        <w:rPr>
          <w:rFonts w:ascii="Tahoma" w:hAnsi="Tahoma"/>
          <w:sz w:val="20"/>
          <w:szCs w:val="20"/>
        </w:rPr>
        <w:t>offre de l</w:t>
      </w:r>
      <w:r w:rsidR="00C54022">
        <w:rPr>
          <w:rFonts w:ascii="Tahoma" w:hAnsi="Tahoma"/>
          <w:sz w:val="20"/>
          <w:szCs w:val="20"/>
        </w:rPr>
        <w:t>’</w:t>
      </w:r>
      <w:r w:rsidRPr="00C54022">
        <w:rPr>
          <w:rFonts w:ascii="Tahoma" w:hAnsi="Tahoma"/>
          <w:sz w:val="20"/>
          <w:szCs w:val="20"/>
        </w:rPr>
        <w:t>UE couvre un vaste éventail de services, alors qu</w:t>
      </w:r>
      <w:r w:rsidR="00C54022">
        <w:rPr>
          <w:rFonts w:ascii="Tahoma" w:hAnsi="Tahoma"/>
          <w:sz w:val="20"/>
          <w:szCs w:val="20"/>
        </w:rPr>
        <w:t>’</w:t>
      </w:r>
      <w:r w:rsidRPr="00C54022">
        <w:rPr>
          <w:rFonts w:ascii="Tahoma" w:hAnsi="Tahoma"/>
          <w:sz w:val="20"/>
          <w:szCs w:val="20"/>
        </w:rPr>
        <w:t>il n</w:t>
      </w:r>
      <w:r w:rsidR="00C54022">
        <w:rPr>
          <w:rFonts w:ascii="Tahoma" w:hAnsi="Tahoma"/>
          <w:sz w:val="20"/>
          <w:szCs w:val="20"/>
        </w:rPr>
        <w:t>’</w:t>
      </w:r>
      <w:r w:rsidRPr="00C54022">
        <w:rPr>
          <w:rFonts w:ascii="Tahoma" w:hAnsi="Tahoma"/>
          <w:sz w:val="20"/>
          <w:szCs w:val="20"/>
        </w:rPr>
        <w:t>y a pas une seule référence à une quelconque exception au champ d</w:t>
      </w:r>
      <w:r w:rsidR="00C54022">
        <w:rPr>
          <w:rFonts w:ascii="Tahoma" w:hAnsi="Tahoma"/>
          <w:sz w:val="20"/>
          <w:szCs w:val="20"/>
        </w:rPr>
        <w:t>’</w:t>
      </w:r>
      <w:r w:rsidRPr="00C54022">
        <w:rPr>
          <w:rFonts w:ascii="Tahoma" w:hAnsi="Tahoma"/>
          <w:sz w:val="20"/>
          <w:szCs w:val="20"/>
        </w:rPr>
        <w:t>application de cet accord pour les services publics ou les services d</w:t>
      </w:r>
      <w:r w:rsidR="00C54022">
        <w:rPr>
          <w:rFonts w:ascii="Tahoma" w:hAnsi="Tahoma"/>
          <w:sz w:val="20"/>
          <w:szCs w:val="20"/>
        </w:rPr>
        <w:t>’</w:t>
      </w:r>
      <w:r w:rsidRPr="00C54022">
        <w:rPr>
          <w:rFonts w:ascii="Tahoma" w:hAnsi="Tahoma"/>
          <w:sz w:val="20"/>
          <w:szCs w:val="20"/>
        </w:rPr>
        <w:t>intérêt général, sauf ceux qui sont sous autorité gouvernementale, ce qui est nettement insuffisant pour protéger l</w:t>
      </w:r>
      <w:r w:rsidR="00C54022">
        <w:rPr>
          <w:rFonts w:ascii="Tahoma" w:hAnsi="Tahoma"/>
          <w:sz w:val="20"/>
          <w:szCs w:val="20"/>
        </w:rPr>
        <w:t>’</w:t>
      </w:r>
      <w:r w:rsidRPr="00C54022">
        <w:rPr>
          <w:rFonts w:ascii="Tahoma" w:hAnsi="Tahoma"/>
          <w:sz w:val="20"/>
          <w:szCs w:val="20"/>
        </w:rPr>
        <w:t>enseignement public. En revanche, l</w:t>
      </w:r>
      <w:r w:rsidR="00C54022">
        <w:rPr>
          <w:rFonts w:ascii="Tahoma" w:hAnsi="Tahoma"/>
          <w:sz w:val="20"/>
          <w:szCs w:val="20"/>
        </w:rPr>
        <w:t>’</w:t>
      </w:r>
      <w:r w:rsidRPr="00C54022">
        <w:rPr>
          <w:rFonts w:ascii="Tahoma" w:hAnsi="Tahoma"/>
          <w:sz w:val="20"/>
          <w:szCs w:val="20"/>
        </w:rPr>
        <w:t>accord-cadre répète à plusieurs reprises que les mesures ne devraient pas être « plus contraignantes que nécessaire ». Par ailleurs, l</w:t>
      </w:r>
      <w:r w:rsidR="00C54022">
        <w:rPr>
          <w:rFonts w:ascii="Tahoma" w:hAnsi="Tahoma"/>
          <w:sz w:val="20"/>
          <w:szCs w:val="20"/>
        </w:rPr>
        <w:t>’</w:t>
      </w:r>
      <w:r w:rsidRPr="00C54022">
        <w:rPr>
          <w:rFonts w:ascii="Tahoma" w:hAnsi="Tahoma"/>
          <w:sz w:val="20"/>
          <w:szCs w:val="20"/>
        </w:rPr>
        <w:t>offre sur les services comprend trois annexes. Les annexes 1 et 2 appliquent la liste négative tandis que l</w:t>
      </w:r>
      <w:r w:rsidR="00C54022">
        <w:rPr>
          <w:rFonts w:ascii="Tahoma" w:hAnsi="Tahoma"/>
          <w:sz w:val="20"/>
          <w:szCs w:val="20"/>
        </w:rPr>
        <w:t>’</w:t>
      </w:r>
      <w:r w:rsidRPr="00C54022">
        <w:rPr>
          <w:rFonts w:ascii="Tahoma" w:hAnsi="Tahoma"/>
          <w:sz w:val="20"/>
          <w:szCs w:val="20"/>
        </w:rPr>
        <w:t>annexe 3 applique la liste positive. Les réserves sur l</w:t>
      </w:r>
      <w:r w:rsidR="00C54022">
        <w:rPr>
          <w:rFonts w:ascii="Tahoma" w:hAnsi="Tahoma"/>
          <w:sz w:val="20"/>
          <w:szCs w:val="20"/>
        </w:rPr>
        <w:t>’</w:t>
      </w:r>
      <w:r w:rsidRPr="00C54022">
        <w:rPr>
          <w:rFonts w:ascii="Tahoma" w:hAnsi="Tahoma"/>
          <w:sz w:val="20"/>
          <w:szCs w:val="20"/>
        </w:rPr>
        <w:t>éducation publique (voir note de bas de page 1 en page 3) constituent une meilleure définition que celle de l</w:t>
      </w:r>
      <w:r w:rsidR="00C54022">
        <w:rPr>
          <w:rFonts w:ascii="Tahoma" w:hAnsi="Tahoma"/>
          <w:sz w:val="20"/>
          <w:szCs w:val="20"/>
        </w:rPr>
        <w:t>’</w:t>
      </w:r>
      <w:r w:rsidRPr="00C54022">
        <w:rPr>
          <w:rFonts w:ascii="Tahoma" w:hAnsi="Tahoma"/>
          <w:sz w:val="20"/>
          <w:szCs w:val="20"/>
        </w:rPr>
        <w:t>AGCS, mais la protection pourrait, malgré tout, être limitée en raison de sa mention dans les annexes et non dans l</w:t>
      </w:r>
      <w:r w:rsidR="00C54022">
        <w:rPr>
          <w:rFonts w:ascii="Tahoma" w:hAnsi="Tahoma"/>
          <w:sz w:val="20"/>
          <w:szCs w:val="20"/>
        </w:rPr>
        <w:t>’</w:t>
      </w:r>
      <w:r w:rsidRPr="00C54022">
        <w:rPr>
          <w:rFonts w:ascii="Tahoma" w:hAnsi="Tahoma"/>
          <w:sz w:val="20"/>
          <w:szCs w:val="20"/>
        </w:rPr>
        <w:t>accord-cadre. Une véritable exception dans l</w:t>
      </w:r>
      <w:r w:rsidR="00C54022">
        <w:rPr>
          <w:rFonts w:ascii="Tahoma" w:hAnsi="Tahoma"/>
          <w:sz w:val="20"/>
          <w:szCs w:val="20"/>
        </w:rPr>
        <w:t>’</w:t>
      </w:r>
      <w:r w:rsidRPr="00C54022">
        <w:rPr>
          <w:rFonts w:ascii="Tahoma" w:hAnsi="Tahoma"/>
          <w:sz w:val="20"/>
          <w:szCs w:val="20"/>
        </w:rPr>
        <w:t>accord-cadre devrait s</w:t>
      </w:r>
      <w:r w:rsidR="00C54022">
        <w:rPr>
          <w:rFonts w:ascii="Tahoma" w:hAnsi="Tahoma"/>
          <w:sz w:val="20"/>
          <w:szCs w:val="20"/>
        </w:rPr>
        <w:t>’</w:t>
      </w:r>
      <w:r w:rsidRPr="00C54022">
        <w:rPr>
          <w:rFonts w:ascii="Tahoma" w:hAnsi="Tahoma"/>
          <w:sz w:val="20"/>
          <w:szCs w:val="20"/>
        </w:rPr>
        <w:t>appliquer aux annexes et aux révisions ultérieures, offrant ainsi une meilleure protection des services publics, notamment de l</w:t>
      </w:r>
      <w:r w:rsidR="00C54022">
        <w:rPr>
          <w:rFonts w:ascii="Tahoma" w:hAnsi="Tahoma"/>
          <w:sz w:val="20"/>
          <w:szCs w:val="20"/>
        </w:rPr>
        <w:t>’</w:t>
      </w:r>
      <w:r w:rsidRPr="00C54022">
        <w:rPr>
          <w:rFonts w:ascii="Tahoma" w:hAnsi="Tahoma"/>
          <w:sz w:val="20"/>
          <w:szCs w:val="20"/>
        </w:rPr>
        <w:t xml:space="preserve">éducation.  </w:t>
      </w:r>
    </w:p>
    <w:p w14:paraId="12F47F2E" w14:textId="77777777" w:rsidR="005349BA" w:rsidRPr="00C54022" w:rsidRDefault="005349BA" w:rsidP="00596913">
      <w:pPr>
        <w:rPr>
          <w:rFonts w:ascii="Tahoma" w:hAnsi="Tahoma" w:cs="Tahoma"/>
          <w:sz w:val="20"/>
          <w:szCs w:val="20"/>
        </w:rPr>
      </w:pPr>
    </w:p>
    <w:p w14:paraId="48BFB68A" w14:textId="3DE23842" w:rsidR="005349BA" w:rsidRPr="00C54022" w:rsidRDefault="007F588B" w:rsidP="00596913">
      <w:pPr>
        <w:rPr>
          <w:rFonts w:ascii="Tahoma" w:eastAsia="MS Mincho" w:hAnsi="Tahoma" w:cs="Tahoma"/>
          <w:bCs/>
          <w:sz w:val="20"/>
          <w:szCs w:val="20"/>
        </w:rPr>
      </w:pPr>
      <w:r w:rsidRPr="00C54022">
        <w:rPr>
          <w:rFonts w:ascii="Tahoma" w:hAnsi="Tahoma"/>
          <w:bCs/>
          <w:sz w:val="20"/>
          <w:szCs w:val="20"/>
        </w:rPr>
        <w:t>Le TTIP prévoit une importante coopération réglementaire, notamment de nouvelles règles, normes et procédures dans un certain nombre de domaines non couverts par d</w:t>
      </w:r>
      <w:r w:rsidR="00C54022">
        <w:rPr>
          <w:rFonts w:ascii="Tahoma" w:hAnsi="Tahoma"/>
          <w:bCs/>
          <w:sz w:val="20"/>
          <w:szCs w:val="20"/>
        </w:rPr>
        <w:t>’</w:t>
      </w:r>
      <w:r w:rsidRPr="00C54022">
        <w:rPr>
          <w:rFonts w:ascii="Tahoma" w:hAnsi="Tahoma"/>
          <w:bCs/>
          <w:sz w:val="20"/>
          <w:szCs w:val="20"/>
        </w:rPr>
        <w:t>autres accords commerciaux. Il existe également une proposition visant à instaurer un Organe de coopération réglementaire (OCR). Cet organe permettrait de rassembler des représentants des agences de réglementation de l</w:t>
      </w:r>
      <w:r w:rsidR="00C54022">
        <w:rPr>
          <w:rFonts w:ascii="Tahoma" w:hAnsi="Tahoma"/>
          <w:bCs/>
          <w:sz w:val="20"/>
          <w:szCs w:val="20"/>
        </w:rPr>
        <w:t>’</w:t>
      </w:r>
      <w:r w:rsidRPr="00C54022">
        <w:rPr>
          <w:rFonts w:ascii="Tahoma" w:hAnsi="Tahoma"/>
          <w:bCs/>
          <w:sz w:val="20"/>
          <w:szCs w:val="20"/>
        </w:rPr>
        <w:t>UE et des États-Unis afin de surveiller la mise en œuvre des engagements pris et d</w:t>
      </w:r>
      <w:r w:rsidR="00C54022">
        <w:rPr>
          <w:rFonts w:ascii="Tahoma" w:hAnsi="Tahoma"/>
          <w:bCs/>
          <w:sz w:val="20"/>
          <w:szCs w:val="20"/>
        </w:rPr>
        <w:t>’</w:t>
      </w:r>
      <w:r w:rsidRPr="00C54022">
        <w:rPr>
          <w:rFonts w:ascii="Tahoma" w:hAnsi="Tahoma"/>
          <w:bCs/>
          <w:sz w:val="20"/>
          <w:szCs w:val="20"/>
        </w:rPr>
        <w:t>envisager de nouvelles priorités en matière de coopération réglementaire, notamment l</w:t>
      </w:r>
      <w:r w:rsidR="00C54022">
        <w:rPr>
          <w:rFonts w:ascii="Tahoma" w:hAnsi="Tahoma"/>
          <w:bCs/>
          <w:sz w:val="20"/>
          <w:szCs w:val="20"/>
        </w:rPr>
        <w:t>’</w:t>
      </w:r>
      <w:r w:rsidRPr="00C54022">
        <w:rPr>
          <w:rFonts w:ascii="Tahoma" w:hAnsi="Tahoma"/>
          <w:bCs/>
          <w:sz w:val="20"/>
          <w:szCs w:val="20"/>
        </w:rPr>
        <w:t>élaboration commune de futurs règlements. La Commission européenne affirme que les négociateurs fixeront le cadre de cette coopération réglementaire et que les organes de contrôle se chargeront du « travail technique ». Néanmoins, cette proposition signifie que le Conseil de coopération examinerait des actes législatifs et non législatifs. La coopération réglementaire pourrait potentiellement engendrer de sérieuses répercussions pour le secteur de l</w:t>
      </w:r>
      <w:r w:rsidR="00C54022">
        <w:rPr>
          <w:rFonts w:ascii="Tahoma" w:hAnsi="Tahoma"/>
          <w:bCs/>
          <w:sz w:val="20"/>
          <w:szCs w:val="20"/>
        </w:rPr>
        <w:t>’</w:t>
      </w:r>
      <w:r w:rsidRPr="00C54022">
        <w:rPr>
          <w:rFonts w:ascii="Tahoma" w:hAnsi="Tahoma"/>
          <w:bCs/>
          <w:sz w:val="20"/>
          <w:szCs w:val="20"/>
        </w:rPr>
        <w:t xml:space="preserve">éducation, dès lors que cette coopération vise les exigences relatives aux autorisations, aux licences et aux qualifications. </w:t>
      </w:r>
    </w:p>
    <w:p w14:paraId="7DCABA20" w14:textId="77777777" w:rsidR="00987410" w:rsidRPr="00C54022" w:rsidRDefault="00987410" w:rsidP="00596913">
      <w:pPr>
        <w:rPr>
          <w:rFonts w:ascii="Tahoma" w:hAnsi="Tahoma" w:cs="Tahoma"/>
          <w:sz w:val="20"/>
          <w:szCs w:val="20"/>
        </w:rPr>
      </w:pPr>
    </w:p>
    <w:p w14:paraId="65535057" w14:textId="33BDACBF" w:rsidR="00217E53" w:rsidRPr="0035100D" w:rsidRDefault="00987410" w:rsidP="00596913">
      <w:pPr>
        <w:rPr>
          <w:rFonts w:ascii="Tahoma" w:hAnsi="Tahoma" w:cs="Tahoma"/>
          <w:sz w:val="20"/>
          <w:szCs w:val="20"/>
        </w:rPr>
      </w:pPr>
      <w:r w:rsidRPr="0035100D">
        <w:rPr>
          <w:rFonts w:ascii="Tahoma" w:hAnsi="Tahoma" w:cs="Tahoma"/>
          <w:sz w:val="20"/>
          <w:szCs w:val="20"/>
        </w:rPr>
        <w:t xml:space="preserve">Le Parlement européen (PE) a adopté avec une nette majorité ses </w:t>
      </w:r>
      <w:hyperlink r:id="rId23" w:history="1">
        <w:r w:rsidRPr="0035100D">
          <w:rPr>
            <w:rStyle w:val="Hyperlink"/>
            <w:rFonts w:ascii="Tahoma" w:hAnsi="Tahoma" w:cs="Tahoma"/>
            <w:sz w:val="20"/>
            <w:szCs w:val="20"/>
          </w:rPr>
          <w:t>recommandations sur le TTIP</w:t>
        </w:r>
      </w:hyperlink>
      <w:r w:rsidRPr="0035100D">
        <w:rPr>
          <w:rFonts w:ascii="Tahoma" w:hAnsi="Tahoma" w:cs="Tahoma"/>
          <w:sz w:val="20"/>
          <w:szCs w:val="20"/>
        </w:rPr>
        <w:t xml:space="preserve"> le 8 juillet 2015. La Commission du commerce international (INTA) était responsable de la rédaction des recommandations, mais 14 autres commissions, notamment la Commission de la culture et de l</w:t>
      </w:r>
      <w:r w:rsidR="00C54022" w:rsidRPr="0035100D">
        <w:rPr>
          <w:rFonts w:ascii="Tahoma" w:hAnsi="Tahoma" w:cs="Tahoma"/>
          <w:sz w:val="20"/>
          <w:szCs w:val="20"/>
        </w:rPr>
        <w:t>’</w:t>
      </w:r>
      <w:r w:rsidRPr="0035100D">
        <w:rPr>
          <w:rFonts w:ascii="Tahoma" w:hAnsi="Tahoma" w:cs="Tahoma"/>
          <w:sz w:val="20"/>
          <w:szCs w:val="20"/>
        </w:rPr>
        <w:t>éducation, ont participé au processus.</w:t>
      </w:r>
    </w:p>
    <w:p w14:paraId="0C3B27E2" w14:textId="77777777" w:rsidR="005F41D8" w:rsidRDefault="005F41D8" w:rsidP="00596913">
      <w:pPr>
        <w:rPr>
          <w:rFonts w:ascii="Tahoma" w:hAnsi="Tahoma" w:cs="Tahoma"/>
          <w:sz w:val="20"/>
          <w:szCs w:val="20"/>
        </w:rPr>
      </w:pPr>
    </w:p>
    <w:p w14:paraId="7A87112F" w14:textId="18992CC7" w:rsidR="0035100D" w:rsidRDefault="0035100D" w:rsidP="00596913">
      <w:pPr>
        <w:rPr>
          <w:rFonts w:ascii="Tahoma" w:hAnsi="Tahoma" w:cs="Tahoma"/>
          <w:sz w:val="20"/>
          <w:szCs w:val="20"/>
        </w:rPr>
      </w:pPr>
    </w:p>
    <w:p w14:paraId="47578CDC" w14:textId="2258E3CC" w:rsidR="00043E2C" w:rsidRDefault="00043E2C" w:rsidP="00596913">
      <w:pPr>
        <w:rPr>
          <w:rFonts w:ascii="Tahoma" w:hAnsi="Tahoma" w:cs="Tahoma"/>
          <w:sz w:val="20"/>
          <w:szCs w:val="20"/>
        </w:rPr>
      </w:pPr>
    </w:p>
    <w:p w14:paraId="4727D71C" w14:textId="643A1874" w:rsidR="00043E2C" w:rsidRDefault="00043E2C" w:rsidP="00596913">
      <w:pPr>
        <w:rPr>
          <w:rFonts w:ascii="Tahoma" w:hAnsi="Tahoma" w:cs="Tahoma"/>
          <w:sz w:val="20"/>
          <w:szCs w:val="20"/>
        </w:rPr>
      </w:pPr>
    </w:p>
    <w:p w14:paraId="23C8F495" w14:textId="77777777" w:rsidR="00043E2C" w:rsidRPr="00C54022" w:rsidRDefault="00043E2C" w:rsidP="00596913">
      <w:pPr>
        <w:rPr>
          <w:rFonts w:ascii="Tahoma" w:hAnsi="Tahoma" w:cs="Tahoma"/>
          <w:sz w:val="20"/>
          <w:szCs w:val="20"/>
        </w:rPr>
      </w:pPr>
      <w:bookmarkStart w:id="0" w:name="_GoBack"/>
      <w:bookmarkEnd w:id="0"/>
    </w:p>
    <w:p w14:paraId="59D935FA" w14:textId="77777777" w:rsidR="00CF0AFF" w:rsidRPr="00C54022" w:rsidRDefault="007375E8" w:rsidP="00596913">
      <w:pPr>
        <w:pStyle w:val="ListParagraph"/>
        <w:numPr>
          <w:ilvl w:val="0"/>
          <w:numId w:val="34"/>
        </w:numPr>
        <w:rPr>
          <w:rFonts w:ascii="Tahoma" w:hAnsi="Tahoma" w:cs="Tahoma"/>
          <w:b/>
          <w:sz w:val="20"/>
          <w:szCs w:val="20"/>
        </w:rPr>
      </w:pPr>
      <w:r w:rsidRPr="00C54022">
        <w:rPr>
          <w:rFonts w:ascii="Tahoma" w:hAnsi="Tahoma"/>
          <w:b/>
          <w:sz w:val="20"/>
          <w:szCs w:val="20"/>
        </w:rPr>
        <w:lastRenderedPageBreak/>
        <w:t>Le Partenariat transpacifique (PTP)</w:t>
      </w:r>
    </w:p>
    <w:p w14:paraId="60D292B5" w14:textId="77777777" w:rsidR="00596913" w:rsidRPr="00C54022" w:rsidRDefault="00596913" w:rsidP="00596913">
      <w:pPr>
        <w:rPr>
          <w:rFonts w:ascii="Tahoma" w:hAnsi="Tahoma" w:cs="Tahoma"/>
          <w:sz w:val="20"/>
          <w:szCs w:val="20"/>
        </w:rPr>
      </w:pPr>
    </w:p>
    <w:p w14:paraId="158594B5" w14:textId="4BB5EF9F" w:rsidR="007375E8" w:rsidRPr="00C54022" w:rsidRDefault="007375E8" w:rsidP="00596913">
      <w:pPr>
        <w:rPr>
          <w:rFonts w:ascii="Tahoma" w:hAnsi="Tahoma" w:cs="Tahoma"/>
          <w:b/>
          <w:sz w:val="20"/>
          <w:szCs w:val="20"/>
        </w:rPr>
      </w:pPr>
      <w:r w:rsidRPr="00C54022">
        <w:rPr>
          <w:rFonts w:ascii="Tahoma" w:hAnsi="Tahoma"/>
          <w:sz w:val="20"/>
          <w:szCs w:val="20"/>
        </w:rPr>
        <w:t xml:space="preserve">Le </w:t>
      </w:r>
      <w:r w:rsidRPr="0035100D">
        <w:rPr>
          <w:rFonts w:ascii="Tahoma" w:hAnsi="Tahoma" w:cs="Tahoma"/>
          <w:sz w:val="20"/>
          <w:szCs w:val="20"/>
        </w:rPr>
        <w:t>Partenariat transpacifique (PTP, ou TPP d</w:t>
      </w:r>
      <w:r w:rsidR="00C54022" w:rsidRPr="0035100D">
        <w:rPr>
          <w:rFonts w:ascii="Tahoma" w:hAnsi="Tahoma" w:cs="Tahoma"/>
          <w:sz w:val="20"/>
          <w:szCs w:val="20"/>
        </w:rPr>
        <w:t>’</w:t>
      </w:r>
      <w:r w:rsidRPr="0035100D">
        <w:rPr>
          <w:rFonts w:ascii="Tahoma" w:hAnsi="Tahoma" w:cs="Tahoma"/>
          <w:sz w:val="20"/>
          <w:szCs w:val="20"/>
        </w:rPr>
        <w:t>après son acronyme anglais) est un accord global de commerce et d</w:t>
      </w:r>
      <w:r w:rsidR="00C54022" w:rsidRPr="0035100D">
        <w:rPr>
          <w:rFonts w:ascii="Tahoma" w:hAnsi="Tahoma" w:cs="Tahoma"/>
          <w:sz w:val="20"/>
          <w:szCs w:val="20"/>
        </w:rPr>
        <w:t>’</w:t>
      </w:r>
      <w:r w:rsidRPr="0035100D">
        <w:rPr>
          <w:rFonts w:ascii="Tahoma" w:hAnsi="Tahoma" w:cs="Tahoma"/>
          <w:sz w:val="20"/>
          <w:szCs w:val="20"/>
        </w:rPr>
        <w:t>investissement qui couvre 40 pour cent de l</w:t>
      </w:r>
      <w:r w:rsidR="00C54022" w:rsidRPr="0035100D">
        <w:rPr>
          <w:rFonts w:ascii="Tahoma" w:hAnsi="Tahoma" w:cs="Tahoma"/>
          <w:sz w:val="20"/>
          <w:szCs w:val="20"/>
        </w:rPr>
        <w:t>’</w:t>
      </w:r>
      <w:r w:rsidRPr="0035100D">
        <w:rPr>
          <w:rFonts w:ascii="Tahoma" w:hAnsi="Tahoma" w:cs="Tahoma"/>
          <w:sz w:val="20"/>
          <w:szCs w:val="20"/>
        </w:rPr>
        <w:t xml:space="preserve">économie mondiale. Le TPP a été conclu le 5 octobre 2015 après plus de cinq ans de négociations secrètes. Le 5 novembre 2015, le texte complet du PTP a été publié </w:t>
      </w:r>
      <w:r w:rsidR="0035100D">
        <w:rPr>
          <w:rFonts w:ascii="Tahoma" w:hAnsi="Tahoma" w:cs="Tahoma"/>
          <w:sz w:val="20"/>
          <w:szCs w:val="20"/>
        </w:rPr>
        <w:t>puis</w:t>
      </w:r>
      <w:r w:rsidRPr="0035100D">
        <w:rPr>
          <w:rFonts w:ascii="Tahoma" w:hAnsi="Tahoma" w:cs="Tahoma"/>
          <w:sz w:val="20"/>
          <w:szCs w:val="20"/>
        </w:rPr>
        <w:t xml:space="preserve"> la</w:t>
      </w:r>
      <w:hyperlink r:id="rId24" w:history="1">
        <w:r w:rsidRPr="0035100D">
          <w:rPr>
            <w:rStyle w:val="Hyperlink"/>
            <w:rFonts w:ascii="Tahoma" w:hAnsi="Tahoma" w:cs="Tahoma"/>
            <w:sz w:val="20"/>
            <w:szCs w:val="20"/>
          </w:rPr>
          <w:t xml:space="preserve"> version du texte du PTP, après révision juridique,</w:t>
        </w:r>
      </w:hyperlink>
      <w:r w:rsidRPr="0035100D">
        <w:rPr>
          <w:rFonts w:ascii="Tahoma" w:hAnsi="Tahoma" w:cs="Tahoma"/>
          <w:sz w:val="20"/>
          <w:szCs w:val="20"/>
        </w:rPr>
        <w:t xml:space="preserve"> </w:t>
      </w:r>
      <w:r w:rsidR="0035100D">
        <w:rPr>
          <w:rFonts w:ascii="Tahoma" w:hAnsi="Tahoma" w:cs="Tahoma"/>
          <w:sz w:val="20"/>
          <w:szCs w:val="20"/>
        </w:rPr>
        <w:t xml:space="preserve">est parue </w:t>
      </w:r>
      <w:r w:rsidR="0035100D" w:rsidRPr="0035100D">
        <w:rPr>
          <w:rFonts w:ascii="Tahoma" w:hAnsi="Tahoma" w:cs="Tahoma"/>
          <w:sz w:val="20"/>
          <w:szCs w:val="20"/>
        </w:rPr>
        <w:t>le 26 janvier 2016</w:t>
      </w:r>
      <w:r w:rsidRPr="0035100D">
        <w:rPr>
          <w:rFonts w:ascii="Tahoma" w:hAnsi="Tahoma" w:cs="Tahoma"/>
          <w:sz w:val="20"/>
          <w:szCs w:val="20"/>
        </w:rPr>
        <w:t>. Les 12 pays suivants y participent : Australie, Brunei, Canada, Chili, Japon, Malaisie, Mexique, Nouvelle-Zélande, Pérou, Singapour, États-Unis d</w:t>
      </w:r>
      <w:r w:rsidR="00C54022" w:rsidRPr="0035100D">
        <w:rPr>
          <w:rFonts w:ascii="Tahoma" w:hAnsi="Tahoma" w:cs="Tahoma"/>
          <w:sz w:val="20"/>
          <w:szCs w:val="20"/>
        </w:rPr>
        <w:t>’</w:t>
      </w:r>
      <w:r w:rsidRPr="0035100D">
        <w:rPr>
          <w:rFonts w:ascii="Tahoma" w:hAnsi="Tahoma" w:cs="Tahoma"/>
          <w:sz w:val="20"/>
          <w:szCs w:val="20"/>
        </w:rPr>
        <w:t>Amérique et Vietnam</w:t>
      </w:r>
      <w:r w:rsidRPr="00C54022">
        <w:rPr>
          <w:rFonts w:ascii="Tahoma" w:hAnsi="Tahoma"/>
          <w:sz w:val="20"/>
          <w:szCs w:val="20"/>
        </w:rPr>
        <w:t xml:space="preserve">.  </w:t>
      </w:r>
    </w:p>
    <w:p w14:paraId="43BB2AA4" w14:textId="77777777" w:rsidR="00D03DA6" w:rsidRPr="00C54022" w:rsidRDefault="00D03DA6" w:rsidP="00596913">
      <w:pPr>
        <w:rPr>
          <w:rFonts w:ascii="Tahoma" w:hAnsi="Tahoma" w:cs="Tahoma"/>
          <w:b/>
          <w:sz w:val="20"/>
          <w:szCs w:val="20"/>
        </w:rPr>
      </w:pPr>
    </w:p>
    <w:p w14:paraId="7E5FAB11" w14:textId="1DB69728" w:rsidR="00217E53" w:rsidRPr="00C54022" w:rsidRDefault="007375E8" w:rsidP="00596913">
      <w:pPr>
        <w:rPr>
          <w:rFonts w:ascii="Tahoma" w:hAnsi="Tahoma" w:cs="Tahoma"/>
          <w:sz w:val="20"/>
          <w:szCs w:val="20"/>
        </w:rPr>
      </w:pPr>
      <w:r w:rsidRPr="00C54022">
        <w:rPr>
          <w:rFonts w:ascii="Tahoma" w:hAnsi="Tahoma"/>
          <w:sz w:val="20"/>
          <w:szCs w:val="20"/>
        </w:rPr>
        <w:t>Après analyse du texte définitif, le PTP représente un risque potentiellement sérieux pour le secteur de l</w:t>
      </w:r>
      <w:r w:rsidR="00C54022">
        <w:rPr>
          <w:rFonts w:ascii="Tahoma" w:hAnsi="Tahoma"/>
          <w:sz w:val="20"/>
          <w:szCs w:val="20"/>
        </w:rPr>
        <w:t>’</w:t>
      </w:r>
      <w:r w:rsidRPr="00C54022">
        <w:rPr>
          <w:rFonts w:ascii="Tahoma" w:hAnsi="Tahoma"/>
          <w:sz w:val="20"/>
          <w:szCs w:val="20"/>
        </w:rPr>
        <w:t>éducation. Premièrement, il n</w:t>
      </w:r>
      <w:r w:rsidR="00C54022">
        <w:rPr>
          <w:rFonts w:ascii="Tahoma" w:hAnsi="Tahoma"/>
          <w:sz w:val="20"/>
          <w:szCs w:val="20"/>
        </w:rPr>
        <w:t>’</w:t>
      </w:r>
      <w:r w:rsidRPr="00C54022">
        <w:rPr>
          <w:rFonts w:ascii="Tahoma" w:hAnsi="Tahoma"/>
          <w:sz w:val="20"/>
          <w:szCs w:val="20"/>
        </w:rPr>
        <w:t>est pas fait mention d</w:t>
      </w:r>
      <w:r w:rsidR="00C54022">
        <w:rPr>
          <w:rFonts w:ascii="Tahoma" w:hAnsi="Tahoma"/>
          <w:sz w:val="20"/>
          <w:szCs w:val="20"/>
        </w:rPr>
        <w:t>’</w:t>
      </w:r>
      <w:r w:rsidRPr="00C54022">
        <w:rPr>
          <w:rFonts w:ascii="Tahoma" w:hAnsi="Tahoma"/>
          <w:sz w:val="20"/>
          <w:szCs w:val="20"/>
        </w:rPr>
        <w:t>une exception explicite pour l</w:t>
      </w:r>
      <w:r w:rsidR="00C54022">
        <w:rPr>
          <w:rFonts w:ascii="Tahoma" w:hAnsi="Tahoma"/>
          <w:sz w:val="20"/>
          <w:szCs w:val="20"/>
        </w:rPr>
        <w:t>’</w:t>
      </w:r>
      <w:r w:rsidRPr="00C54022">
        <w:rPr>
          <w:rFonts w:ascii="Tahoma" w:hAnsi="Tahoma"/>
          <w:sz w:val="20"/>
          <w:szCs w:val="20"/>
        </w:rPr>
        <w:t>éducation, ce qui l</w:t>
      </w:r>
      <w:r w:rsidR="00C54022">
        <w:rPr>
          <w:rFonts w:ascii="Tahoma" w:hAnsi="Tahoma"/>
          <w:sz w:val="20"/>
          <w:szCs w:val="20"/>
        </w:rPr>
        <w:t>’</w:t>
      </w:r>
      <w:r w:rsidRPr="00C54022">
        <w:rPr>
          <w:rFonts w:ascii="Tahoma" w:hAnsi="Tahoma"/>
          <w:sz w:val="20"/>
          <w:szCs w:val="20"/>
        </w:rPr>
        <w:t>expose à un risque de privatisation et de commercialisation accru et menace l</w:t>
      </w:r>
      <w:r w:rsidR="00C54022">
        <w:rPr>
          <w:rFonts w:ascii="Tahoma" w:hAnsi="Tahoma"/>
          <w:sz w:val="20"/>
          <w:szCs w:val="20"/>
        </w:rPr>
        <w:t>’</w:t>
      </w:r>
      <w:r w:rsidRPr="00C54022">
        <w:rPr>
          <w:rFonts w:ascii="Tahoma" w:hAnsi="Tahoma"/>
          <w:sz w:val="20"/>
          <w:szCs w:val="20"/>
        </w:rPr>
        <w:t>éducation libre, publique, et de qualité. Ensuite, le PTP impose de nouvelles règles restrictives au droit de la propriété intellectuelle et comprend le très controversé mécanisme du RDIE (Règlement des différends entre investisseurs et États) qui confère aux investisseurs étrangers le droit exclusif de contester les lois et règlements qu</w:t>
      </w:r>
      <w:r w:rsidR="00C54022">
        <w:rPr>
          <w:rFonts w:ascii="Tahoma" w:hAnsi="Tahoma"/>
          <w:sz w:val="20"/>
          <w:szCs w:val="20"/>
        </w:rPr>
        <w:t>’</w:t>
      </w:r>
      <w:r w:rsidRPr="00C54022">
        <w:rPr>
          <w:rFonts w:ascii="Tahoma" w:hAnsi="Tahoma"/>
          <w:sz w:val="20"/>
          <w:szCs w:val="20"/>
        </w:rPr>
        <w:t>ils jugent défavorables à leurs activités devant des comités d</w:t>
      </w:r>
      <w:r w:rsidR="00C54022">
        <w:rPr>
          <w:rFonts w:ascii="Tahoma" w:hAnsi="Tahoma"/>
          <w:sz w:val="20"/>
          <w:szCs w:val="20"/>
        </w:rPr>
        <w:t>’</w:t>
      </w:r>
      <w:r w:rsidRPr="00C54022">
        <w:rPr>
          <w:rFonts w:ascii="Tahoma" w:hAnsi="Tahoma"/>
          <w:sz w:val="20"/>
          <w:szCs w:val="20"/>
        </w:rPr>
        <w:t>arbitrage privés</w:t>
      </w:r>
      <w:r w:rsidR="0035100D">
        <w:rPr>
          <w:rFonts w:ascii="Tahoma" w:hAnsi="Tahoma"/>
          <w:sz w:val="20"/>
          <w:szCs w:val="20"/>
        </w:rPr>
        <w:t>.</w:t>
      </w:r>
      <w:r w:rsidRPr="00C54022">
        <w:rPr>
          <w:rFonts w:ascii="Tahoma" w:hAnsi="Tahoma"/>
          <w:sz w:val="20"/>
          <w:szCs w:val="20"/>
        </w:rPr>
        <w:t xml:space="preserve"> Pour de plus amples informations, voir la </w:t>
      </w:r>
      <w:hyperlink r:id="rId25" w:history="1">
        <w:r w:rsidRPr="00C54022">
          <w:rPr>
            <w:rStyle w:val="Hyperlink"/>
            <w:rFonts w:ascii="Tahoma" w:hAnsi="Tahoma"/>
            <w:sz w:val="20"/>
            <w:szCs w:val="20"/>
          </w:rPr>
          <w:t>Note d</w:t>
        </w:r>
        <w:r w:rsidR="00C54022">
          <w:rPr>
            <w:rStyle w:val="Hyperlink"/>
            <w:rFonts w:ascii="Tahoma" w:hAnsi="Tahoma"/>
            <w:sz w:val="20"/>
            <w:szCs w:val="20"/>
          </w:rPr>
          <w:t>’</w:t>
        </w:r>
        <w:r w:rsidRPr="00C54022">
          <w:rPr>
            <w:rStyle w:val="Hyperlink"/>
            <w:rFonts w:ascii="Tahoma" w:hAnsi="Tahoma"/>
            <w:sz w:val="20"/>
            <w:szCs w:val="20"/>
          </w:rPr>
          <w:t>information sur le Partenariat transpacifique</w:t>
        </w:r>
      </w:hyperlink>
      <w:r w:rsidRPr="00C54022">
        <w:t>.</w:t>
      </w:r>
      <w:r w:rsidRPr="00C54022">
        <w:rPr>
          <w:rFonts w:ascii="Tahoma" w:hAnsi="Tahoma"/>
          <w:sz w:val="20"/>
          <w:szCs w:val="20"/>
        </w:rPr>
        <w:t xml:space="preserve"> </w:t>
      </w:r>
    </w:p>
    <w:p w14:paraId="5EE76F1E" w14:textId="4070612A" w:rsidR="00932FC9" w:rsidRPr="00C54022" w:rsidRDefault="00932FC9" w:rsidP="00596913">
      <w:pPr>
        <w:rPr>
          <w:rFonts w:ascii="Tahoma" w:hAnsi="Tahoma" w:cs="Tahoma"/>
          <w:sz w:val="20"/>
          <w:szCs w:val="20"/>
        </w:rPr>
      </w:pPr>
    </w:p>
    <w:p w14:paraId="324C6638" w14:textId="7A171875" w:rsidR="00932FC9" w:rsidRPr="00C54022" w:rsidRDefault="00932FC9" w:rsidP="00596913">
      <w:pPr>
        <w:rPr>
          <w:rFonts w:ascii="Tahoma" w:hAnsi="Tahoma" w:cs="Tahoma"/>
          <w:sz w:val="20"/>
          <w:szCs w:val="20"/>
        </w:rPr>
      </w:pPr>
      <w:r w:rsidRPr="00C54022">
        <w:rPr>
          <w:rFonts w:ascii="Tahoma" w:hAnsi="Tahoma"/>
          <w:sz w:val="20"/>
          <w:szCs w:val="20"/>
        </w:rPr>
        <w:t>Il n</w:t>
      </w:r>
      <w:r w:rsidR="00C54022">
        <w:rPr>
          <w:rFonts w:ascii="Tahoma" w:hAnsi="Tahoma"/>
          <w:sz w:val="20"/>
          <w:szCs w:val="20"/>
        </w:rPr>
        <w:t>’</w:t>
      </w:r>
      <w:r w:rsidRPr="00C54022">
        <w:rPr>
          <w:rFonts w:ascii="Tahoma" w:hAnsi="Tahoma"/>
          <w:sz w:val="20"/>
          <w:szCs w:val="20"/>
        </w:rPr>
        <w:t>est pas sûr que le PTP soit adopté par le Congrès américain, encore moins avant l</w:t>
      </w:r>
      <w:r w:rsidR="00C54022">
        <w:rPr>
          <w:rFonts w:ascii="Tahoma" w:hAnsi="Tahoma"/>
          <w:sz w:val="20"/>
          <w:szCs w:val="20"/>
        </w:rPr>
        <w:t>’</w:t>
      </w:r>
      <w:r w:rsidRPr="00C54022">
        <w:rPr>
          <w:rFonts w:ascii="Tahoma" w:hAnsi="Tahoma"/>
          <w:sz w:val="20"/>
          <w:szCs w:val="20"/>
        </w:rPr>
        <w:t>élection présidentielle de novembre 2016. C</w:t>
      </w:r>
      <w:r w:rsidR="00C54022">
        <w:rPr>
          <w:rFonts w:ascii="Tahoma" w:hAnsi="Tahoma"/>
          <w:sz w:val="20"/>
          <w:szCs w:val="20"/>
        </w:rPr>
        <w:t>’</w:t>
      </w:r>
      <w:r w:rsidRPr="00C54022">
        <w:rPr>
          <w:rFonts w:ascii="Tahoma" w:hAnsi="Tahoma"/>
          <w:sz w:val="20"/>
          <w:szCs w:val="20"/>
        </w:rPr>
        <w:t>est pourquoi d</w:t>
      </w:r>
      <w:r w:rsidR="00C54022">
        <w:rPr>
          <w:rFonts w:ascii="Tahoma" w:hAnsi="Tahoma"/>
          <w:sz w:val="20"/>
          <w:szCs w:val="20"/>
        </w:rPr>
        <w:t>’</w:t>
      </w:r>
      <w:r w:rsidRPr="00C54022">
        <w:rPr>
          <w:rFonts w:ascii="Tahoma" w:hAnsi="Tahoma"/>
          <w:sz w:val="20"/>
          <w:szCs w:val="20"/>
        </w:rPr>
        <w:t xml:space="preserve">autres pays signataires du PTP préfèrent attendre le résultat des élections présidentielles américaines. </w:t>
      </w:r>
    </w:p>
    <w:p w14:paraId="3732B50B" w14:textId="77777777" w:rsidR="009926AF" w:rsidRPr="00C54022" w:rsidRDefault="009926AF" w:rsidP="00596913">
      <w:pPr>
        <w:rPr>
          <w:rFonts w:ascii="Tahoma" w:hAnsi="Tahoma" w:cs="Tahoma"/>
          <w:sz w:val="20"/>
          <w:szCs w:val="20"/>
        </w:rPr>
      </w:pPr>
    </w:p>
    <w:sectPr w:rsidR="009926AF" w:rsidRPr="00C54022" w:rsidSect="005F41D8">
      <w:headerReference w:type="default" r:id="rId26"/>
      <w:footerReference w:type="even" r:id="rId27"/>
      <w:footerReference w:type="default" r:id="rId28"/>
      <w:headerReference w:type="first" r:id="rId29"/>
      <w:pgSz w:w="11907" w:h="16840" w:code="9"/>
      <w:pgMar w:top="1418" w:right="1418" w:bottom="1418" w:left="1418" w:header="720" w:footer="57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8225A" w14:textId="77777777" w:rsidR="006339C2" w:rsidRDefault="006339C2">
      <w:r>
        <w:separator/>
      </w:r>
    </w:p>
  </w:endnote>
  <w:endnote w:type="continuationSeparator" w:id="0">
    <w:p w14:paraId="3768ADEA" w14:textId="77777777" w:rsidR="006339C2" w:rsidRDefault="0063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Vrinda">
    <w:panose1 w:val="000004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5705A" w14:textId="77777777" w:rsidR="00227FC1" w:rsidRDefault="00227F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740B41" w14:textId="77777777" w:rsidR="00227FC1" w:rsidRDefault="00227F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2851012"/>
      <w:docPartObj>
        <w:docPartGallery w:val="Page Numbers (Bottom of Page)"/>
        <w:docPartUnique/>
      </w:docPartObj>
    </w:sdtPr>
    <w:sdtEndPr>
      <w:rPr>
        <w:color w:val="808080" w:themeColor="background1" w:themeShade="80"/>
        <w:spacing w:val="60"/>
      </w:rPr>
    </w:sdtEndPr>
    <w:sdtContent>
      <w:p w14:paraId="4A4BE28D" w14:textId="16B031D3" w:rsidR="00227FC1" w:rsidRDefault="00227FC1">
        <w:pPr>
          <w:pStyle w:val="Footer"/>
          <w:pBdr>
            <w:top w:val="single" w:sz="4" w:space="1" w:color="D9D9D9" w:themeColor="background1" w:themeShade="D9"/>
          </w:pBdr>
          <w:jc w:val="right"/>
        </w:pPr>
        <w:r w:rsidRPr="005F41D8">
          <w:rPr>
            <w:rFonts w:ascii="Tahoma" w:hAnsi="Tahoma" w:cs="Tahoma"/>
            <w:b/>
            <w:bCs/>
            <w:color w:val="1F497D" w:themeColor="text2"/>
            <w:sz w:val="20"/>
            <w:szCs w:val="20"/>
          </w:rPr>
          <w:fldChar w:fldCharType="begin"/>
        </w:r>
        <w:r w:rsidRPr="005F41D8">
          <w:rPr>
            <w:rFonts w:ascii="Tahoma" w:hAnsi="Tahoma" w:cs="Tahoma"/>
            <w:b/>
            <w:bCs/>
            <w:color w:val="1F497D" w:themeColor="text2"/>
            <w:sz w:val="20"/>
            <w:szCs w:val="20"/>
          </w:rPr>
          <w:instrText xml:space="preserve"> PAGE   \* MERGEFORMAT </w:instrText>
        </w:r>
        <w:r w:rsidRPr="005F41D8">
          <w:rPr>
            <w:rFonts w:ascii="Tahoma" w:hAnsi="Tahoma" w:cs="Tahoma"/>
            <w:b/>
            <w:bCs/>
            <w:color w:val="1F497D" w:themeColor="text2"/>
            <w:sz w:val="20"/>
            <w:szCs w:val="20"/>
          </w:rPr>
          <w:fldChar w:fldCharType="separate"/>
        </w:r>
        <w:r w:rsidR="00043E2C">
          <w:rPr>
            <w:rFonts w:ascii="Tahoma" w:hAnsi="Tahoma" w:cs="Tahoma"/>
            <w:b/>
            <w:bCs/>
            <w:noProof/>
            <w:color w:val="1F497D" w:themeColor="text2"/>
            <w:sz w:val="20"/>
            <w:szCs w:val="20"/>
          </w:rPr>
          <w:t>3</w:t>
        </w:r>
        <w:r w:rsidRPr="005F41D8">
          <w:rPr>
            <w:rFonts w:ascii="Tahoma" w:hAnsi="Tahoma" w:cs="Tahoma"/>
            <w:b/>
            <w:bCs/>
            <w:color w:val="1F497D" w:themeColor="text2"/>
            <w:sz w:val="20"/>
            <w:szCs w:val="20"/>
          </w:rPr>
          <w:fldChar w:fldCharType="end"/>
        </w:r>
        <w:r>
          <w:t xml:space="preserve"> | </w:t>
        </w:r>
        <w:r>
          <w:rPr>
            <w:color w:val="808080" w:themeColor="background1" w:themeShade="80"/>
          </w:rPr>
          <w:t>Page</w:t>
        </w:r>
      </w:p>
    </w:sdtContent>
  </w:sdt>
  <w:p w14:paraId="5C3F210C" w14:textId="77777777" w:rsidR="00227FC1" w:rsidRDefault="00227F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73916" w14:textId="77777777" w:rsidR="006339C2" w:rsidRDefault="006339C2">
      <w:r>
        <w:separator/>
      </w:r>
    </w:p>
  </w:footnote>
  <w:footnote w:type="continuationSeparator" w:id="0">
    <w:p w14:paraId="21CEF102" w14:textId="77777777" w:rsidR="006339C2" w:rsidRDefault="006339C2">
      <w:r>
        <w:continuationSeparator/>
      </w:r>
    </w:p>
  </w:footnote>
  <w:footnote w:id="1">
    <w:p w14:paraId="66FF79E0" w14:textId="4F42A477" w:rsidR="00227FC1" w:rsidRPr="00806CA2" w:rsidRDefault="00227FC1" w:rsidP="00895801">
      <w:pPr>
        <w:pStyle w:val="FootnoteText"/>
        <w:jc w:val="both"/>
        <w:rPr>
          <w:rFonts w:ascii="Times New Roman" w:hAnsi="Times New Roman"/>
          <w:i/>
          <w:sz w:val="20"/>
          <w:szCs w:val="20"/>
        </w:rPr>
      </w:pPr>
      <w:r>
        <w:rPr>
          <w:rStyle w:val="FootnoteReference"/>
        </w:rPr>
        <w:footnoteRef/>
      </w:r>
      <w:r>
        <w:t xml:space="preserve"> </w:t>
      </w:r>
      <w:r>
        <w:rPr>
          <w:rFonts w:ascii="Times New Roman" w:hAnsi="Times New Roman"/>
          <w:sz w:val="20"/>
          <w:szCs w:val="20"/>
        </w:rPr>
        <w:t>Le texte est libellé comme suit : « L</w:t>
      </w:r>
      <w:r w:rsidR="00E7296B">
        <w:rPr>
          <w:rFonts w:ascii="Times New Roman" w:hAnsi="Times New Roman"/>
          <w:sz w:val="20"/>
          <w:szCs w:val="20"/>
        </w:rPr>
        <w:t>’</w:t>
      </w:r>
      <w:r>
        <w:rPr>
          <w:rFonts w:ascii="Times New Roman" w:hAnsi="Times New Roman"/>
          <w:sz w:val="20"/>
          <w:szCs w:val="20"/>
        </w:rPr>
        <w:t>UE se réserve le droit d</w:t>
      </w:r>
      <w:r w:rsidR="00E7296B">
        <w:rPr>
          <w:rFonts w:ascii="Times New Roman" w:hAnsi="Times New Roman"/>
          <w:sz w:val="20"/>
          <w:szCs w:val="20"/>
        </w:rPr>
        <w:t>’</w:t>
      </w:r>
      <w:r>
        <w:rPr>
          <w:rFonts w:ascii="Times New Roman" w:hAnsi="Times New Roman"/>
          <w:sz w:val="20"/>
          <w:szCs w:val="20"/>
        </w:rPr>
        <w:t xml:space="preserve">adopter ou de maintenir toute mesure relative à </w:t>
      </w:r>
      <w:r>
        <w:rPr>
          <w:rFonts w:ascii="Times New Roman" w:hAnsi="Times New Roman"/>
          <w:b/>
          <w:sz w:val="20"/>
          <w:szCs w:val="20"/>
        </w:rPr>
        <w:t>la fourniture de tous les services d</w:t>
      </w:r>
      <w:r w:rsidR="00E7296B">
        <w:rPr>
          <w:rFonts w:ascii="Times New Roman" w:hAnsi="Times New Roman"/>
          <w:b/>
          <w:sz w:val="20"/>
          <w:szCs w:val="20"/>
        </w:rPr>
        <w:t>’</w:t>
      </w:r>
      <w:r>
        <w:rPr>
          <w:rFonts w:ascii="Times New Roman" w:hAnsi="Times New Roman"/>
          <w:b/>
          <w:sz w:val="20"/>
          <w:szCs w:val="20"/>
        </w:rPr>
        <w:t>éducation qui perçoivent des fonds publics ou une aide de l</w:t>
      </w:r>
      <w:r w:rsidR="00E7296B">
        <w:rPr>
          <w:rFonts w:ascii="Times New Roman" w:hAnsi="Times New Roman"/>
          <w:b/>
          <w:sz w:val="20"/>
          <w:szCs w:val="20"/>
        </w:rPr>
        <w:t>’</w:t>
      </w:r>
      <w:r>
        <w:rPr>
          <w:rFonts w:ascii="Times New Roman" w:hAnsi="Times New Roman"/>
          <w:b/>
          <w:sz w:val="20"/>
          <w:szCs w:val="20"/>
        </w:rPr>
        <w:t>État sous quelque forme que ce soit et qui, à ce titre, ne sont pas considérés comme étant financés par des fonds privés.</w:t>
      </w:r>
      <w:r>
        <w:rPr>
          <w:rFonts w:ascii="Times New Roman" w:hAnsi="Times New Roman"/>
          <w:sz w:val="20"/>
          <w:szCs w:val="20"/>
        </w:rPr>
        <w:t xml:space="preserve">  </w:t>
      </w:r>
      <w:r>
        <w:rPr>
          <w:rFonts w:ascii="Times New Roman" w:hAnsi="Times New Roman"/>
          <w:i/>
          <w:sz w:val="20"/>
          <w:szCs w:val="20"/>
        </w:rPr>
        <w:t xml:space="preserve"> </w:t>
      </w:r>
    </w:p>
    <w:p w14:paraId="71F37CAF" w14:textId="08FEB050" w:rsidR="00227FC1" w:rsidRPr="00806CA2" w:rsidRDefault="00227FC1" w:rsidP="00895801">
      <w:pPr>
        <w:pStyle w:val="FootnoteText"/>
        <w:jc w:val="both"/>
        <w:rPr>
          <w:rFonts w:ascii="Times New Roman" w:hAnsi="Times New Roman"/>
          <w:i/>
          <w:sz w:val="20"/>
          <w:szCs w:val="20"/>
        </w:rPr>
      </w:pPr>
      <w:r>
        <w:rPr>
          <w:rFonts w:ascii="Times New Roman" w:hAnsi="Times New Roman"/>
          <w:i/>
          <w:sz w:val="20"/>
          <w:szCs w:val="20"/>
        </w:rPr>
        <w:t>L</w:t>
      </w:r>
      <w:r w:rsidR="00E7296B">
        <w:rPr>
          <w:rFonts w:ascii="Times New Roman" w:hAnsi="Times New Roman"/>
          <w:i/>
          <w:sz w:val="20"/>
          <w:szCs w:val="20"/>
        </w:rPr>
        <w:t>’</w:t>
      </w:r>
      <w:r>
        <w:rPr>
          <w:rFonts w:ascii="Times New Roman" w:hAnsi="Times New Roman"/>
          <w:i/>
          <w:sz w:val="20"/>
          <w:szCs w:val="20"/>
        </w:rPr>
        <w:t>UE, à l</w:t>
      </w:r>
      <w:r w:rsidR="00E7296B">
        <w:rPr>
          <w:rFonts w:ascii="Times New Roman" w:hAnsi="Times New Roman"/>
          <w:i/>
          <w:sz w:val="20"/>
          <w:szCs w:val="20"/>
        </w:rPr>
        <w:t>’</w:t>
      </w:r>
      <w:r>
        <w:rPr>
          <w:rFonts w:ascii="Times New Roman" w:hAnsi="Times New Roman"/>
          <w:i/>
          <w:sz w:val="20"/>
          <w:szCs w:val="20"/>
        </w:rPr>
        <w:t>exception de CZ, NL, SE, SK, se réserve le droit d</w:t>
      </w:r>
      <w:r w:rsidR="00E7296B">
        <w:rPr>
          <w:rFonts w:ascii="Times New Roman" w:hAnsi="Times New Roman"/>
          <w:i/>
          <w:sz w:val="20"/>
          <w:szCs w:val="20"/>
        </w:rPr>
        <w:t>’</w:t>
      </w:r>
      <w:r>
        <w:rPr>
          <w:rFonts w:ascii="Times New Roman" w:hAnsi="Times New Roman"/>
          <w:i/>
          <w:sz w:val="20"/>
          <w:szCs w:val="20"/>
        </w:rPr>
        <w:t xml:space="preserve">adopter ou de maintenir toute mesure concernant </w:t>
      </w:r>
      <w:r>
        <w:rPr>
          <w:rFonts w:ascii="Times New Roman" w:hAnsi="Times New Roman"/>
          <w:b/>
          <w:i/>
          <w:sz w:val="20"/>
          <w:szCs w:val="20"/>
        </w:rPr>
        <w:t>la fourniture d</w:t>
      </w:r>
      <w:r w:rsidR="00E7296B">
        <w:rPr>
          <w:rFonts w:ascii="Times New Roman" w:hAnsi="Times New Roman"/>
          <w:b/>
          <w:i/>
          <w:sz w:val="20"/>
          <w:szCs w:val="20"/>
        </w:rPr>
        <w:t>’</w:t>
      </w:r>
      <w:r>
        <w:rPr>
          <w:rFonts w:ascii="Times New Roman" w:hAnsi="Times New Roman"/>
          <w:b/>
          <w:i/>
          <w:sz w:val="20"/>
          <w:szCs w:val="20"/>
        </w:rPr>
        <w:t>autres services d</w:t>
      </w:r>
      <w:r w:rsidR="00E7296B">
        <w:rPr>
          <w:rFonts w:ascii="Times New Roman" w:hAnsi="Times New Roman"/>
          <w:b/>
          <w:i/>
          <w:sz w:val="20"/>
          <w:szCs w:val="20"/>
        </w:rPr>
        <w:t>’</w:t>
      </w:r>
      <w:r>
        <w:rPr>
          <w:rFonts w:ascii="Times New Roman" w:hAnsi="Times New Roman"/>
          <w:b/>
          <w:i/>
          <w:sz w:val="20"/>
          <w:szCs w:val="20"/>
        </w:rPr>
        <w:t>éducation financés par des fonds privés (CPC 929), c</w:t>
      </w:r>
      <w:r w:rsidR="00E7296B">
        <w:rPr>
          <w:rFonts w:ascii="Times New Roman" w:hAnsi="Times New Roman"/>
          <w:b/>
          <w:i/>
          <w:sz w:val="20"/>
          <w:szCs w:val="20"/>
        </w:rPr>
        <w:t>’</w:t>
      </w:r>
      <w:r>
        <w:rPr>
          <w:rFonts w:ascii="Times New Roman" w:hAnsi="Times New Roman"/>
          <w:b/>
          <w:i/>
          <w:sz w:val="20"/>
          <w:szCs w:val="20"/>
        </w:rPr>
        <w:t>est-à-dire les services autres que ceux considérés comme étant des services d</w:t>
      </w:r>
      <w:r w:rsidR="00E7296B">
        <w:rPr>
          <w:rFonts w:ascii="Times New Roman" w:hAnsi="Times New Roman"/>
          <w:b/>
          <w:i/>
          <w:sz w:val="20"/>
          <w:szCs w:val="20"/>
        </w:rPr>
        <w:t>’</w:t>
      </w:r>
      <w:r>
        <w:rPr>
          <w:rFonts w:ascii="Times New Roman" w:hAnsi="Times New Roman"/>
          <w:b/>
          <w:i/>
          <w:sz w:val="20"/>
          <w:szCs w:val="20"/>
        </w:rPr>
        <w:t>enseignement primaire, secondaire, supérieur et d</w:t>
      </w:r>
      <w:r w:rsidR="00E7296B">
        <w:rPr>
          <w:rFonts w:ascii="Times New Roman" w:hAnsi="Times New Roman"/>
          <w:b/>
          <w:i/>
          <w:sz w:val="20"/>
          <w:szCs w:val="20"/>
        </w:rPr>
        <w:t>’</w:t>
      </w:r>
      <w:r>
        <w:rPr>
          <w:rFonts w:ascii="Times New Roman" w:hAnsi="Times New Roman"/>
          <w:b/>
          <w:i/>
          <w:sz w:val="20"/>
          <w:szCs w:val="20"/>
        </w:rPr>
        <w:t>éducation des adultes.</w:t>
      </w:r>
      <w:r>
        <w:rPr>
          <w:rFonts w:ascii="Times New Roman" w:hAnsi="Times New Roman"/>
          <w:i/>
          <w:sz w:val="20"/>
          <w:szCs w:val="20"/>
        </w:rPr>
        <w:t xml:space="preserve">  </w:t>
      </w:r>
      <w:r>
        <w:rPr>
          <w:rFonts w:ascii="Times New Roman" w:hAnsi="Times New Roman"/>
          <w:b/>
          <w:i/>
          <w:sz w:val="20"/>
          <w:szCs w:val="20"/>
        </w:rPr>
        <w:t xml:space="preserve"> </w:t>
      </w:r>
    </w:p>
    <w:p w14:paraId="0881E183" w14:textId="4C1A6C48" w:rsidR="00227FC1" w:rsidRPr="00806CA2" w:rsidRDefault="00227FC1" w:rsidP="00895801">
      <w:pPr>
        <w:pStyle w:val="FootnoteText"/>
        <w:jc w:val="both"/>
        <w:rPr>
          <w:rFonts w:ascii="Times New Roman" w:hAnsi="Times New Roman"/>
          <w:i/>
          <w:sz w:val="20"/>
          <w:szCs w:val="20"/>
        </w:rPr>
      </w:pPr>
      <w:r>
        <w:rPr>
          <w:rFonts w:ascii="Times New Roman" w:hAnsi="Times New Roman"/>
          <w:b/>
          <w:i/>
          <w:sz w:val="20"/>
          <w:szCs w:val="20"/>
        </w:rPr>
        <w:t>Dans les cas où la fourniture, par un prestataire étranger, de services d</w:t>
      </w:r>
      <w:r w:rsidR="00E7296B">
        <w:rPr>
          <w:rFonts w:ascii="Times New Roman" w:hAnsi="Times New Roman"/>
          <w:b/>
          <w:i/>
          <w:sz w:val="20"/>
          <w:szCs w:val="20"/>
        </w:rPr>
        <w:t>’</w:t>
      </w:r>
      <w:r>
        <w:rPr>
          <w:rFonts w:ascii="Times New Roman" w:hAnsi="Times New Roman"/>
          <w:b/>
          <w:i/>
          <w:sz w:val="20"/>
          <w:szCs w:val="20"/>
        </w:rPr>
        <w:t>éducation financés par des fonds privés est autorisée, la participation des opérateurs privés au système éducatif peut faire l</w:t>
      </w:r>
      <w:r w:rsidR="00E7296B">
        <w:rPr>
          <w:rFonts w:ascii="Times New Roman" w:hAnsi="Times New Roman"/>
          <w:b/>
          <w:i/>
          <w:sz w:val="20"/>
          <w:szCs w:val="20"/>
        </w:rPr>
        <w:t>’</w:t>
      </w:r>
      <w:r>
        <w:rPr>
          <w:rFonts w:ascii="Times New Roman" w:hAnsi="Times New Roman"/>
          <w:b/>
          <w:i/>
          <w:sz w:val="20"/>
          <w:szCs w:val="20"/>
        </w:rPr>
        <w:t>objet de concessions octroyées de manière non discriminatoire</w:t>
      </w:r>
      <w:r w:rsidR="00E7296B">
        <w:rPr>
          <w:rFonts w:ascii="Times New Roman" w:hAnsi="Times New Roman"/>
          <w:b/>
          <w:i/>
          <w:sz w:val="20"/>
          <w:szCs w:val="20"/>
        </w:rPr>
        <w:t>.</w:t>
      </w:r>
      <w:r>
        <w:rPr>
          <w:rFonts w:ascii="Times New Roman" w:hAnsi="Times New Roman"/>
          <w:b/>
          <w:i/>
          <w:sz w:val="20"/>
          <w:szCs w:val="20"/>
        </w:rPr>
        <w:t xml:space="preserve"> »</w:t>
      </w:r>
    </w:p>
  </w:footnote>
  <w:footnote w:id="2">
    <w:p w14:paraId="79B521B9" w14:textId="77777777" w:rsidR="00227FC1" w:rsidRPr="00806CA2" w:rsidRDefault="00227FC1" w:rsidP="00895801">
      <w:pPr>
        <w:pStyle w:val="FootnoteText"/>
        <w:rPr>
          <w:rFonts w:ascii="Times New Roman" w:hAnsi="Times New Roman"/>
          <w:i/>
          <w:sz w:val="20"/>
          <w:szCs w:val="20"/>
        </w:rPr>
      </w:pPr>
      <w:r>
        <w:rPr>
          <w:rStyle w:val="FootnoteReference"/>
        </w:rPr>
        <w:footnoteRef/>
      </w:r>
      <w:r>
        <w:t xml:space="preserve"> </w:t>
      </w:r>
      <w:r>
        <w:rPr>
          <w:rFonts w:ascii="Times New Roman" w:hAnsi="Times New Roman"/>
          <w:i/>
          <w:sz w:val="20"/>
          <w:szCs w:val="20"/>
        </w:rPr>
        <w:t xml:space="preserve">« Dans tous les États membres, les services considérés comme étant des services publics à un niveau national ou local peuvent être soumis à des monopoles publics ou à des droits exclusifs octroyés à des opérateurs privés. </w:t>
      </w:r>
    </w:p>
    <w:p w14:paraId="34DBACD2" w14:textId="4F1998DA" w:rsidR="00227FC1" w:rsidRPr="00806CA2" w:rsidRDefault="00227FC1" w:rsidP="00895801">
      <w:pPr>
        <w:pStyle w:val="FootnoteText"/>
        <w:rPr>
          <w:rFonts w:ascii="Times New Roman" w:hAnsi="Times New Roman"/>
          <w:b/>
          <w:i/>
          <w:sz w:val="20"/>
          <w:szCs w:val="20"/>
        </w:rPr>
      </w:pPr>
      <w:r>
        <w:rPr>
          <w:rFonts w:ascii="Times New Roman" w:hAnsi="Times New Roman"/>
          <w:i/>
          <w:sz w:val="20"/>
          <w:szCs w:val="20"/>
        </w:rPr>
        <w:t>Les services publics existent dans les secteurs, tels que les services connexes de consultations scientifiques et techniques, les services de recherche et développement en sciences sociales et humaines, les services techniques d</w:t>
      </w:r>
      <w:r w:rsidR="00E7296B">
        <w:rPr>
          <w:rFonts w:ascii="Times New Roman" w:hAnsi="Times New Roman"/>
          <w:i/>
          <w:sz w:val="20"/>
          <w:szCs w:val="20"/>
        </w:rPr>
        <w:t>’</w:t>
      </w:r>
      <w:r>
        <w:rPr>
          <w:rFonts w:ascii="Times New Roman" w:hAnsi="Times New Roman"/>
          <w:i/>
          <w:sz w:val="20"/>
          <w:szCs w:val="20"/>
        </w:rPr>
        <w:t>essai et d</w:t>
      </w:r>
      <w:r w:rsidR="00E7296B">
        <w:rPr>
          <w:rFonts w:ascii="Times New Roman" w:hAnsi="Times New Roman"/>
          <w:i/>
          <w:sz w:val="20"/>
          <w:szCs w:val="20"/>
        </w:rPr>
        <w:t>’</w:t>
      </w:r>
      <w:r>
        <w:rPr>
          <w:rFonts w:ascii="Times New Roman" w:hAnsi="Times New Roman"/>
          <w:i/>
          <w:sz w:val="20"/>
          <w:szCs w:val="20"/>
        </w:rPr>
        <w:t xml:space="preserve">analyse, les services environnementaux, les services de santé, les services de transport et les services auxiliaires de tous les modes de transport. Des droits exclusifs sur ce type de services sont souvent octroyés à des opérateurs privés, notamment à des opérateurs qui ont obtenu des concessions de la part des pouvoirs publics et sont soumis à certaines obligations en matière de service. </w:t>
      </w:r>
      <w:r>
        <w:rPr>
          <w:rFonts w:ascii="Times New Roman" w:hAnsi="Times New Roman"/>
          <w:b/>
          <w:i/>
          <w:sz w:val="20"/>
          <w:szCs w:val="20"/>
        </w:rPr>
        <w:t>Comme les services publics sont souvent présents également au niveau régional, l</w:t>
      </w:r>
      <w:r w:rsidR="00E7296B">
        <w:rPr>
          <w:rFonts w:ascii="Times New Roman" w:hAnsi="Times New Roman"/>
          <w:b/>
          <w:i/>
          <w:sz w:val="20"/>
          <w:szCs w:val="20"/>
        </w:rPr>
        <w:t>’</w:t>
      </w:r>
      <w:r>
        <w:rPr>
          <w:rFonts w:ascii="Times New Roman" w:hAnsi="Times New Roman"/>
          <w:b/>
          <w:i/>
          <w:sz w:val="20"/>
          <w:szCs w:val="20"/>
        </w:rPr>
        <w:t>idée d</w:t>
      </w:r>
      <w:r w:rsidR="00E7296B">
        <w:rPr>
          <w:rFonts w:ascii="Times New Roman" w:hAnsi="Times New Roman"/>
          <w:b/>
          <w:i/>
          <w:sz w:val="20"/>
          <w:szCs w:val="20"/>
        </w:rPr>
        <w:t>’</w:t>
      </w:r>
      <w:r>
        <w:rPr>
          <w:rFonts w:ascii="Times New Roman" w:hAnsi="Times New Roman"/>
          <w:b/>
          <w:i/>
          <w:sz w:val="20"/>
          <w:szCs w:val="20"/>
        </w:rPr>
        <w:t>en dresser une liste détaillée et exhaustive par secteur n</w:t>
      </w:r>
      <w:r w:rsidR="00E7296B">
        <w:rPr>
          <w:rFonts w:ascii="Times New Roman" w:hAnsi="Times New Roman"/>
          <w:b/>
          <w:i/>
          <w:sz w:val="20"/>
          <w:szCs w:val="20"/>
        </w:rPr>
        <w:t>’</w:t>
      </w:r>
      <w:r>
        <w:rPr>
          <w:rFonts w:ascii="Times New Roman" w:hAnsi="Times New Roman"/>
          <w:b/>
          <w:i/>
          <w:sz w:val="20"/>
          <w:szCs w:val="20"/>
        </w:rPr>
        <w:t xml:space="preserve">est pas réalisable. </w:t>
      </w:r>
    </w:p>
    <w:p w14:paraId="6A81BC71" w14:textId="25D6863C" w:rsidR="00227FC1" w:rsidRPr="00806CA2" w:rsidRDefault="00227FC1" w:rsidP="00895801">
      <w:pPr>
        <w:pStyle w:val="FootnoteText"/>
        <w:rPr>
          <w:rFonts w:ascii="Times New Roman" w:hAnsi="Times New Roman"/>
          <w:sz w:val="20"/>
          <w:szCs w:val="20"/>
        </w:rPr>
      </w:pPr>
      <w:r>
        <w:rPr>
          <w:rFonts w:ascii="Times New Roman" w:hAnsi="Times New Roman"/>
          <w:i/>
          <w:sz w:val="20"/>
          <w:szCs w:val="20"/>
        </w:rPr>
        <w:t>Ces réserves ne s</w:t>
      </w:r>
      <w:r w:rsidR="00E7296B">
        <w:rPr>
          <w:rFonts w:ascii="Times New Roman" w:hAnsi="Times New Roman"/>
          <w:i/>
          <w:sz w:val="20"/>
          <w:szCs w:val="20"/>
        </w:rPr>
        <w:t>’</w:t>
      </w:r>
      <w:r>
        <w:rPr>
          <w:rFonts w:ascii="Times New Roman" w:hAnsi="Times New Roman"/>
          <w:i/>
          <w:sz w:val="20"/>
          <w:szCs w:val="20"/>
        </w:rPr>
        <w:t xml:space="preserve">appliquent pas aux télécommunications et aux services informatiques et connexes. » </w:t>
      </w:r>
      <w:r>
        <w:rPr>
          <w:rFonts w:ascii="Times New Roman" w:hAnsi="Times New Roman"/>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66FEE" w14:textId="1D1CB033" w:rsidR="00596913" w:rsidRPr="00A62CE5" w:rsidRDefault="00596913" w:rsidP="00596913">
    <w:pPr>
      <w:pStyle w:val="Header"/>
      <w:rPr>
        <w:rFonts w:ascii="Tahoma" w:hAnsi="Tahoma" w:cs="Tahoma"/>
        <w:b/>
        <w:i/>
        <w:color w:val="808080"/>
        <w:sz w:val="22"/>
        <w:szCs w:val="22"/>
      </w:rPr>
    </w:pPr>
    <w:r w:rsidRPr="00596913">
      <w:rPr>
        <w:noProof/>
        <w:sz w:val="20"/>
        <w:szCs w:val="20"/>
        <w:lang w:val="en-US" w:bidi="ar-SA"/>
      </w:rPr>
      <w:drawing>
        <wp:anchor distT="0" distB="0" distL="114300" distR="114300" simplePos="0" relativeHeight="251668992" behindDoc="1" locked="0" layoutInCell="1" allowOverlap="1" wp14:anchorId="3D10B3EF" wp14:editId="44D3B3B0">
          <wp:simplePos x="0" y="0"/>
          <wp:positionH relativeFrom="column">
            <wp:posOffset>-457200</wp:posOffset>
          </wp:positionH>
          <wp:positionV relativeFrom="paragraph">
            <wp:posOffset>-121285</wp:posOffset>
          </wp:positionV>
          <wp:extent cx="334645" cy="334645"/>
          <wp:effectExtent l="0" t="0" r="825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645" cy="3346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color w:val="3366FF"/>
        <w:sz w:val="20"/>
        <w:szCs w:val="20"/>
      </w:rPr>
      <w:t>Internationale de l'Education</w:t>
    </w:r>
    <w:r>
      <w:rPr>
        <w:rFonts w:ascii="Tahoma" w:hAnsi="Tahoma"/>
        <w:b/>
        <w:color w:val="808080"/>
        <w:sz w:val="20"/>
        <w:szCs w:val="20"/>
      </w:rPr>
      <w:t xml:space="preserve">                                                   </w:t>
    </w:r>
    <w:r>
      <w:rPr>
        <w:sz w:val="20"/>
        <w:szCs w:val="20"/>
      </w:rPr>
      <w:t xml:space="preserve">                                                </w:t>
    </w:r>
  </w:p>
  <w:p w14:paraId="7290826A" w14:textId="77777777" w:rsidR="00227FC1" w:rsidRDefault="00227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B14F1" w14:textId="77777777" w:rsidR="00227FC1" w:rsidRPr="00A62CE5" w:rsidRDefault="00227FC1" w:rsidP="00806CA2">
    <w:pPr>
      <w:pStyle w:val="Header"/>
      <w:rPr>
        <w:rFonts w:ascii="Tahoma" w:hAnsi="Tahoma" w:cs="Tahoma"/>
        <w:b/>
        <w:i/>
        <w:color w:val="808080"/>
      </w:rPr>
    </w:pPr>
    <w:r w:rsidRPr="00E5489D">
      <w:rPr>
        <w:noProof/>
        <w:sz w:val="20"/>
        <w:szCs w:val="20"/>
        <w:lang w:val="en-US" w:bidi="ar-SA"/>
      </w:rPr>
      <w:drawing>
        <wp:anchor distT="0" distB="0" distL="114300" distR="114300" simplePos="0" relativeHeight="251659264" behindDoc="1" locked="0" layoutInCell="1" allowOverlap="1" wp14:anchorId="7082660B" wp14:editId="5591A9B5">
          <wp:simplePos x="0" y="0"/>
          <wp:positionH relativeFrom="column">
            <wp:posOffset>-457200</wp:posOffset>
          </wp:positionH>
          <wp:positionV relativeFrom="paragraph">
            <wp:posOffset>-121285</wp:posOffset>
          </wp:positionV>
          <wp:extent cx="334645" cy="334645"/>
          <wp:effectExtent l="0" t="0" r="825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645" cy="3346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color w:val="3366FF"/>
        <w:sz w:val="20"/>
        <w:szCs w:val="20"/>
      </w:rPr>
      <w:t>Internationale de l'Education</w:t>
    </w:r>
    <w:r>
      <w:rPr>
        <w:rFonts w:ascii="Arial Narrow" w:hAnsi="Arial Narrow"/>
        <w:b/>
        <w:color w:val="808080"/>
        <w:sz w:val="20"/>
        <w:szCs w:val="20"/>
      </w:rPr>
      <w:t xml:space="preserve"> </w:t>
    </w:r>
    <w:r>
      <w:rPr>
        <w:rFonts w:ascii="Tahoma" w:hAnsi="Tahoma"/>
        <w:b/>
        <w:color w:val="808080"/>
        <w:sz w:val="20"/>
        <w:szCs w:val="20"/>
      </w:rPr>
      <w:t xml:space="preserve"> </w:t>
    </w:r>
    <w:r>
      <w:rPr>
        <w:rFonts w:ascii="Tahoma" w:hAnsi="Tahoma"/>
        <w:b/>
        <w:color w:val="808080"/>
      </w:rPr>
      <w:t xml:space="preserve">                                                           </w:t>
    </w:r>
    <w:r>
      <w:rPr>
        <w:sz w:val="14"/>
        <w:szCs w:val="14"/>
      </w:rPr>
      <w:t xml:space="preserve">                          index </w:t>
    </w:r>
    <w:r>
      <w:rPr>
        <w:rFonts w:ascii="Arial Narrow" w:hAnsi="Arial Narrow"/>
        <w:b/>
        <w:color w:val="808080"/>
      </w:rPr>
      <w:t>EB</w:t>
    </w:r>
    <w:r>
      <w:rPr>
        <w:rFonts w:ascii="Arial Narrow" w:hAnsi="Arial Narrow"/>
        <w:b/>
        <w:color w:val="3366FF"/>
        <w:sz w:val="26"/>
        <w:szCs w:val="26"/>
      </w:rPr>
      <w:t>47-07.7</w:t>
    </w:r>
  </w:p>
  <w:p w14:paraId="17BF456F" w14:textId="77777777" w:rsidR="00227FC1" w:rsidRDefault="00227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7E9D"/>
    <w:multiLevelType w:val="hybridMultilevel"/>
    <w:tmpl w:val="10E44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A2CE5"/>
    <w:multiLevelType w:val="hybridMultilevel"/>
    <w:tmpl w:val="2152CC2C"/>
    <w:lvl w:ilvl="0" w:tplc="0809000F">
      <w:start w:val="1"/>
      <w:numFmt w:val="decimal"/>
      <w:lvlText w:val="%1."/>
      <w:lvlJc w:val="left"/>
      <w:pPr>
        <w:ind w:left="720" w:hanging="360"/>
      </w:pPr>
    </w:lvl>
    <w:lvl w:ilvl="1" w:tplc="08090019">
      <w:start w:val="1"/>
      <w:numFmt w:val="lowerLetter"/>
      <w:lvlText w:val="%2."/>
      <w:lvlJc w:val="left"/>
      <w:pPr>
        <w:ind w:left="1353"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C086E"/>
    <w:multiLevelType w:val="multilevel"/>
    <w:tmpl w:val="35E873D8"/>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512"/>
        </w:tabs>
        <w:ind w:left="512" w:hanging="1080"/>
      </w:pPr>
      <w:rPr>
        <w:rFonts w:hint="default"/>
        <w:u w:val="none"/>
      </w:rPr>
    </w:lvl>
    <w:lvl w:ilvl="3">
      <w:start w:val="1"/>
      <w:numFmt w:val="decimal"/>
      <w:lvlText w:val="%1.%2.%3.%4."/>
      <w:lvlJc w:val="left"/>
      <w:pPr>
        <w:tabs>
          <w:tab w:val="num" w:pos="228"/>
        </w:tabs>
        <w:ind w:left="228" w:hanging="1080"/>
      </w:pPr>
      <w:rPr>
        <w:rFonts w:hint="default"/>
        <w:u w:val="none"/>
      </w:rPr>
    </w:lvl>
    <w:lvl w:ilvl="4">
      <w:start w:val="1"/>
      <w:numFmt w:val="decimal"/>
      <w:lvlText w:val="%1.%2.%3.%4.%5."/>
      <w:lvlJc w:val="left"/>
      <w:pPr>
        <w:tabs>
          <w:tab w:val="num" w:pos="304"/>
        </w:tabs>
        <w:ind w:left="304" w:hanging="1440"/>
      </w:pPr>
      <w:rPr>
        <w:rFonts w:hint="default"/>
        <w:u w:val="none"/>
      </w:rPr>
    </w:lvl>
    <w:lvl w:ilvl="5">
      <w:start w:val="1"/>
      <w:numFmt w:val="decimal"/>
      <w:lvlText w:val="%1.%2.%3.%4.%5.%6."/>
      <w:lvlJc w:val="left"/>
      <w:pPr>
        <w:tabs>
          <w:tab w:val="num" w:pos="380"/>
        </w:tabs>
        <w:ind w:left="380" w:hanging="1800"/>
      </w:pPr>
      <w:rPr>
        <w:rFonts w:hint="default"/>
        <w:u w:val="none"/>
      </w:rPr>
    </w:lvl>
    <w:lvl w:ilvl="6">
      <w:start w:val="1"/>
      <w:numFmt w:val="decimal"/>
      <w:lvlText w:val="%1.%2.%3.%4.%5.%6.%7."/>
      <w:lvlJc w:val="left"/>
      <w:pPr>
        <w:tabs>
          <w:tab w:val="num" w:pos="96"/>
        </w:tabs>
        <w:ind w:left="96" w:hanging="1800"/>
      </w:pPr>
      <w:rPr>
        <w:rFonts w:hint="default"/>
        <w:u w:val="none"/>
      </w:rPr>
    </w:lvl>
    <w:lvl w:ilvl="7">
      <w:start w:val="1"/>
      <w:numFmt w:val="decimal"/>
      <w:lvlText w:val="%1.%2.%3.%4.%5.%6.%7.%8."/>
      <w:lvlJc w:val="left"/>
      <w:pPr>
        <w:tabs>
          <w:tab w:val="num" w:pos="172"/>
        </w:tabs>
        <w:ind w:left="172" w:hanging="2160"/>
      </w:pPr>
      <w:rPr>
        <w:rFonts w:hint="default"/>
        <w:u w:val="none"/>
      </w:rPr>
    </w:lvl>
    <w:lvl w:ilvl="8">
      <w:start w:val="1"/>
      <w:numFmt w:val="decimal"/>
      <w:lvlText w:val="%1.%2.%3.%4.%5.%6.%7.%8.%9."/>
      <w:lvlJc w:val="left"/>
      <w:pPr>
        <w:tabs>
          <w:tab w:val="num" w:pos="248"/>
        </w:tabs>
        <w:ind w:left="248" w:hanging="2520"/>
      </w:pPr>
      <w:rPr>
        <w:rFonts w:hint="default"/>
        <w:u w:val="none"/>
      </w:rPr>
    </w:lvl>
  </w:abstractNum>
  <w:abstractNum w:abstractNumId="3" w15:restartNumberingAfterBreak="0">
    <w:nsid w:val="0D436C70"/>
    <w:multiLevelType w:val="hybridMultilevel"/>
    <w:tmpl w:val="FB84A4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0B79B2"/>
    <w:multiLevelType w:val="hybridMultilevel"/>
    <w:tmpl w:val="BCCEB6A0"/>
    <w:lvl w:ilvl="0" w:tplc="C756C9AE">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2F7F83"/>
    <w:multiLevelType w:val="hybridMultilevel"/>
    <w:tmpl w:val="D59AF806"/>
    <w:lvl w:ilvl="0" w:tplc="F7869828">
      <w:start w:val="14"/>
      <w:numFmt w:val="decimal"/>
      <w:lvlText w:val="%1."/>
      <w:lvlJc w:val="left"/>
      <w:pPr>
        <w:tabs>
          <w:tab w:val="num" w:pos="421"/>
        </w:tabs>
        <w:ind w:left="421" w:hanging="705"/>
      </w:pPr>
      <w:rPr>
        <w:rFonts w:hint="default"/>
      </w:rPr>
    </w:lvl>
    <w:lvl w:ilvl="1" w:tplc="04090019" w:tentative="1">
      <w:start w:val="1"/>
      <w:numFmt w:val="lowerLetter"/>
      <w:lvlText w:val="%2."/>
      <w:lvlJc w:val="left"/>
      <w:pPr>
        <w:tabs>
          <w:tab w:val="num" w:pos="796"/>
        </w:tabs>
        <w:ind w:left="796" w:hanging="360"/>
      </w:pPr>
    </w:lvl>
    <w:lvl w:ilvl="2" w:tplc="0409001B" w:tentative="1">
      <w:start w:val="1"/>
      <w:numFmt w:val="lowerRoman"/>
      <w:lvlText w:val="%3."/>
      <w:lvlJc w:val="right"/>
      <w:pPr>
        <w:tabs>
          <w:tab w:val="num" w:pos="1516"/>
        </w:tabs>
        <w:ind w:left="1516" w:hanging="180"/>
      </w:pPr>
    </w:lvl>
    <w:lvl w:ilvl="3" w:tplc="0409000F" w:tentative="1">
      <w:start w:val="1"/>
      <w:numFmt w:val="decimal"/>
      <w:lvlText w:val="%4."/>
      <w:lvlJc w:val="left"/>
      <w:pPr>
        <w:tabs>
          <w:tab w:val="num" w:pos="2236"/>
        </w:tabs>
        <w:ind w:left="2236" w:hanging="360"/>
      </w:pPr>
    </w:lvl>
    <w:lvl w:ilvl="4" w:tplc="04090019" w:tentative="1">
      <w:start w:val="1"/>
      <w:numFmt w:val="lowerLetter"/>
      <w:lvlText w:val="%5."/>
      <w:lvlJc w:val="left"/>
      <w:pPr>
        <w:tabs>
          <w:tab w:val="num" w:pos="2956"/>
        </w:tabs>
        <w:ind w:left="2956" w:hanging="360"/>
      </w:pPr>
    </w:lvl>
    <w:lvl w:ilvl="5" w:tplc="0409001B" w:tentative="1">
      <w:start w:val="1"/>
      <w:numFmt w:val="lowerRoman"/>
      <w:lvlText w:val="%6."/>
      <w:lvlJc w:val="right"/>
      <w:pPr>
        <w:tabs>
          <w:tab w:val="num" w:pos="3676"/>
        </w:tabs>
        <w:ind w:left="3676" w:hanging="180"/>
      </w:pPr>
    </w:lvl>
    <w:lvl w:ilvl="6" w:tplc="0409000F" w:tentative="1">
      <w:start w:val="1"/>
      <w:numFmt w:val="decimal"/>
      <w:lvlText w:val="%7."/>
      <w:lvlJc w:val="left"/>
      <w:pPr>
        <w:tabs>
          <w:tab w:val="num" w:pos="4396"/>
        </w:tabs>
        <w:ind w:left="4396" w:hanging="360"/>
      </w:pPr>
    </w:lvl>
    <w:lvl w:ilvl="7" w:tplc="04090019" w:tentative="1">
      <w:start w:val="1"/>
      <w:numFmt w:val="lowerLetter"/>
      <w:lvlText w:val="%8."/>
      <w:lvlJc w:val="left"/>
      <w:pPr>
        <w:tabs>
          <w:tab w:val="num" w:pos="5116"/>
        </w:tabs>
        <w:ind w:left="5116" w:hanging="360"/>
      </w:pPr>
    </w:lvl>
    <w:lvl w:ilvl="8" w:tplc="0409001B" w:tentative="1">
      <w:start w:val="1"/>
      <w:numFmt w:val="lowerRoman"/>
      <w:lvlText w:val="%9."/>
      <w:lvlJc w:val="right"/>
      <w:pPr>
        <w:tabs>
          <w:tab w:val="num" w:pos="5836"/>
        </w:tabs>
        <w:ind w:left="5836" w:hanging="180"/>
      </w:pPr>
    </w:lvl>
  </w:abstractNum>
  <w:abstractNum w:abstractNumId="6" w15:restartNumberingAfterBreak="0">
    <w:nsid w:val="15CC6E63"/>
    <w:multiLevelType w:val="singleLevel"/>
    <w:tmpl w:val="2BD2A6E2"/>
    <w:lvl w:ilvl="0">
      <w:start w:val="1"/>
      <w:numFmt w:val="decimal"/>
      <w:lvlText w:val="%1."/>
      <w:lvlJc w:val="left"/>
      <w:pPr>
        <w:tabs>
          <w:tab w:val="num" w:pos="570"/>
        </w:tabs>
        <w:ind w:left="570" w:hanging="570"/>
      </w:pPr>
      <w:rPr>
        <w:rFonts w:hint="default"/>
        <w:i w:val="0"/>
      </w:rPr>
    </w:lvl>
  </w:abstractNum>
  <w:abstractNum w:abstractNumId="7" w15:restartNumberingAfterBreak="0">
    <w:nsid w:val="20504D4A"/>
    <w:multiLevelType w:val="multilevel"/>
    <w:tmpl w:val="0764F492"/>
    <w:lvl w:ilvl="0">
      <w:start w:val="6"/>
      <w:numFmt w:val="bullet"/>
      <w:lvlText w:val="-"/>
      <w:lvlJc w:val="left"/>
      <w:pPr>
        <w:tabs>
          <w:tab w:val="num" w:pos="1242"/>
        </w:tabs>
        <w:ind w:left="1242" w:hanging="360"/>
      </w:pPr>
      <w:rPr>
        <w:rFonts w:ascii="Arial" w:eastAsia="Times New Roman" w:hAnsi="Arial" w:cs="Arial" w:hint="default"/>
      </w:rPr>
    </w:lvl>
    <w:lvl w:ilvl="1" w:tentative="1">
      <w:start w:val="1"/>
      <w:numFmt w:val="bullet"/>
      <w:lvlText w:val="o"/>
      <w:lvlJc w:val="left"/>
      <w:pPr>
        <w:tabs>
          <w:tab w:val="num" w:pos="1962"/>
        </w:tabs>
        <w:ind w:left="1962" w:hanging="360"/>
      </w:pPr>
      <w:rPr>
        <w:rFonts w:ascii="Courier New" w:hAnsi="Courier New" w:cs="Arial Narrow" w:hint="default"/>
      </w:rPr>
    </w:lvl>
    <w:lvl w:ilvl="2" w:tentative="1">
      <w:start w:val="1"/>
      <w:numFmt w:val="bullet"/>
      <w:lvlText w:val=""/>
      <w:lvlJc w:val="left"/>
      <w:pPr>
        <w:tabs>
          <w:tab w:val="num" w:pos="2682"/>
        </w:tabs>
        <w:ind w:left="2682" w:hanging="360"/>
      </w:pPr>
      <w:rPr>
        <w:rFonts w:ascii="Wingdings" w:hAnsi="Wingdings" w:hint="default"/>
      </w:rPr>
    </w:lvl>
    <w:lvl w:ilvl="3" w:tentative="1">
      <w:start w:val="1"/>
      <w:numFmt w:val="bullet"/>
      <w:lvlText w:val=""/>
      <w:lvlJc w:val="left"/>
      <w:pPr>
        <w:tabs>
          <w:tab w:val="num" w:pos="3402"/>
        </w:tabs>
        <w:ind w:left="3402" w:hanging="360"/>
      </w:pPr>
      <w:rPr>
        <w:rFonts w:ascii="Symbol" w:hAnsi="Symbol" w:hint="default"/>
      </w:rPr>
    </w:lvl>
    <w:lvl w:ilvl="4" w:tentative="1">
      <w:start w:val="1"/>
      <w:numFmt w:val="bullet"/>
      <w:lvlText w:val="o"/>
      <w:lvlJc w:val="left"/>
      <w:pPr>
        <w:tabs>
          <w:tab w:val="num" w:pos="4122"/>
        </w:tabs>
        <w:ind w:left="4122" w:hanging="360"/>
      </w:pPr>
      <w:rPr>
        <w:rFonts w:ascii="Courier New" w:hAnsi="Courier New" w:cs="Arial Narrow" w:hint="default"/>
      </w:rPr>
    </w:lvl>
    <w:lvl w:ilvl="5" w:tentative="1">
      <w:start w:val="1"/>
      <w:numFmt w:val="bullet"/>
      <w:lvlText w:val=""/>
      <w:lvlJc w:val="left"/>
      <w:pPr>
        <w:tabs>
          <w:tab w:val="num" w:pos="4842"/>
        </w:tabs>
        <w:ind w:left="4842" w:hanging="360"/>
      </w:pPr>
      <w:rPr>
        <w:rFonts w:ascii="Wingdings" w:hAnsi="Wingdings" w:hint="default"/>
      </w:rPr>
    </w:lvl>
    <w:lvl w:ilvl="6" w:tentative="1">
      <w:start w:val="1"/>
      <w:numFmt w:val="bullet"/>
      <w:lvlText w:val=""/>
      <w:lvlJc w:val="left"/>
      <w:pPr>
        <w:tabs>
          <w:tab w:val="num" w:pos="5562"/>
        </w:tabs>
        <w:ind w:left="5562" w:hanging="360"/>
      </w:pPr>
      <w:rPr>
        <w:rFonts w:ascii="Symbol" w:hAnsi="Symbol" w:hint="default"/>
      </w:rPr>
    </w:lvl>
    <w:lvl w:ilvl="7" w:tentative="1">
      <w:start w:val="1"/>
      <w:numFmt w:val="bullet"/>
      <w:lvlText w:val="o"/>
      <w:lvlJc w:val="left"/>
      <w:pPr>
        <w:tabs>
          <w:tab w:val="num" w:pos="6282"/>
        </w:tabs>
        <w:ind w:left="6282" w:hanging="360"/>
      </w:pPr>
      <w:rPr>
        <w:rFonts w:ascii="Courier New" w:hAnsi="Courier New" w:cs="Arial Narrow" w:hint="default"/>
      </w:rPr>
    </w:lvl>
    <w:lvl w:ilvl="8" w:tentative="1">
      <w:start w:val="1"/>
      <w:numFmt w:val="bullet"/>
      <w:lvlText w:val=""/>
      <w:lvlJc w:val="left"/>
      <w:pPr>
        <w:tabs>
          <w:tab w:val="num" w:pos="7002"/>
        </w:tabs>
        <w:ind w:left="7002" w:hanging="360"/>
      </w:pPr>
      <w:rPr>
        <w:rFonts w:ascii="Wingdings" w:hAnsi="Wingdings" w:hint="default"/>
      </w:rPr>
    </w:lvl>
  </w:abstractNum>
  <w:abstractNum w:abstractNumId="8" w15:restartNumberingAfterBreak="0">
    <w:nsid w:val="21B855ED"/>
    <w:multiLevelType w:val="singleLevel"/>
    <w:tmpl w:val="34203304"/>
    <w:lvl w:ilvl="0">
      <w:start w:val="8"/>
      <w:numFmt w:val="decimal"/>
      <w:lvlText w:val="%1."/>
      <w:lvlJc w:val="left"/>
      <w:pPr>
        <w:tabs>
          <w:tab w:val="num" w:pos="421"/>
        </w:tabs>
        <w:ind w:left="421" w:hanging="705"/>
      </w:pPr>
      <w:rPr>
        <w:rFonts w:hint="default"/>
      </w:rPr>
    </w:lvl>
  </w:abstractNum>
  <w:abstractNum w:abstractNumId="9" w15:restartNumberingAfterBreak="0">
    <w:nsid w:val="251B4694"/>
    <w:multiLevelType w:val="multilevel"/>
    <w:tmpl w:val="A8DA5C7E"/>
    <w:lvl w:ilvl="0">
      <w:start w:val="3"/>
      <w:numFmt w:val="decimal"/>
      <w:lvlText w:val="%1."/>
      <w:lvlJc w:val="left"/>
      <w:pPr>
        <w:tabs>
          <w:tab w:val="num" w:pos="720"/>
        </w:tabs>
        <w:ind w:left="720" w:hanging="720"/>
      </w:pPr>
      <w:rPr>
        <w:rFonts w:hint="default"/>
        <w:u w:val="none"/>
      </w:rPr>
    </w:lvl>
    <w:lvl w:ilvl="1">
      <w:start w:val="1"/>
      <w:numFmt w:val="decimal"/>
      <w:lvlText w:val="%1.%2."/>
      <w:lvlJc w:val="left"/>
      <w:pPr>
        <w:tabs>
          <w:tab w:val="num" w:pos="436"/>
        </w:tabs>
        <w:ind w:left="436" w:hanging="720"/>
      </w:pPr>
      <w:rPr>
        <w:rFonts w:hint="default"/>
        <w:u w:val="none"/>
      </w:rPr>
    </w:lvl>
    <w:lvl w:ilvl="2">
      <w:start w:val="1"/>
      <w:numFmt w:val="decimal"/>
      <w:lvlText w:val="%1.%2.%3."/>
      <w:lvlJc w:val="left"/>
      <w:pPr>
        <w:tabs>
          <w:tab w:val="num" w:pos="152"/>
        </w:tabs>
        <w:ind w:left="152" w:hanging="720"/>
      </w:pPr>
      <w:rPr>
        <w:rFonts w:hint="default"/>
        <w:u w:val="none"/>
      </w:rPr>
    </w:lvl>
    <w:lvl w:ilvl="3">
      <w:start w:val="1"/>
      <w:numFmt w:val="decimal"/>
      <w:lvlText w:val="%1.%2.%3.%4."/>
      <w:lvlJc w:val="left"/>
      <w:pPr>
        <w:tabs>
          <w:tab w:val="num" w:pos="-132"/>
        </w:tabs>
        <w:ind w:left="-132" w:hanging="720"/>
      </w:pPr>
      <w:rPr>
        <w:rFonts w:hint="default"/>
        <w:u w:val="none"/>
      </w:rPr>
    </w:lvl>
    <w:lvl w:ilvl="4">
      <w:start w:val="1"/>
      <w:numFmt w:val="decimal"/>
      <w:lvlText w:val="%1.%2.%3.%4.%5."/>
      <w:lvlJc w:val="left"/>
      <w:pPr>
        <w:tabs>
          <w:tab w:val="num" w:pos="-56"/>
        </w:tabs>
        <w:ind w:left="-56" w:hanging="1080"/>
      </w:pPr>
      <w:rPr>
        <w:rFonts w:hint="default"/>
        <w:u w:val="none"/>
      </w:rPr>
    </w:lvl>
    <w:lvl w:ilvl="5">
      <w:start w:val="1"/>
      <w:numFmt w:val="decimal"/>
      <w:lvlText w:val="%1.%2.%3.%4.%5.%6."/>
      <w:lvlJc w:val="left"/>
      <w:pPr>
        <w:tabs>
          <w:tab w:val="num" w:pos="-340"/>
        </w:tabs>
        <w:ind w:left="-340" w:hanging="1080"/>
      </w:pPr>
      <w:rPr>
        <w:rFonts w:hint="default"/>
        <w:u w:val="none"/>
      </w:rPr>
    </w:lvl>
    <w:lvl w:ilvl="6">
      <w:start w:val="1"/>
      <w:numFmt w:val="decimal"/>
      <w:lvlText w:val="%1.%2.%3.%4.%5.%6.%7."/>
      <w:lvlJc w:val="left"/>
      <w:pPr>
        <w:tabs>
          <w:tab w:val="num" w:pos="-264"/>
        </w:tabs>
        <w:ind w:left="-264" w:hanging="1440"/>
      </w:pPr>
      <w:rPr>
        <w:rFonts w:hint="default"/>
        <w:u w:val="none"/>
      </w:rPr>
    </w:lvl>
    <w:lvl w:ilvl="7">
      <w:start w:val="1"/>
      <w:numFmt w:val="decimal"/>
      <w:lvlText w:val="%1.%2.%3.%4.%5.%6.%7.%8."/>
      <w:lvlJc w:val="left"/>
      <w:pPr>
        <w:tabs>
          <w:tab w:val="num" w:pos="-548"/>
        </w:tabs>
        <w:ind w:left="-548" w:hanging="1440"/>
      </w:pPr>
      <w:rPr>
        <w:rFonts w:hint="default"/>
        <w:u w:val="none"/>
      </w:rPr>
    </w:lvl>
    <w:lvl w:ilvl="8">
      <w:start w:val="1"/>
      <w:numFmt w:val="decimal"/>
      <w:lvlText w:val="%1.%2.%3.%4.%5.%6.%7.%8.%9."/>
      <w:lvlJc w:val="left"/>
      <w:pPr>
        <w:tabs>
          <w:tab w:val="num" w:pos="-472"/>
        </w:tabs>
        <w:ind w:left="-472" w:hanging="1800"/>
      </w:pPr>
      <w:rPr>
        <w:rFonts w:hint="default"/>
        <w:u w:val="none"/>
      </w:rPr>
    </w:lvl>
  </w:abstractNum>
  <w:abstractNum w:abstractNumId="10" w15:restartNumberingAfterBreak="0">
    <w:nsid w:val="258B0FD4"/>
    <w:multiLevelType w:val="hybridMultilevel"/>
    <w:tmpl w:val="0554AD44"/>
    <w:lvl w:ilvl="0" w:tplc="9D2AED1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5163A1"/>
    <w:multiLevelType w:val="singleLevel"/>
    <w:tmpl w:val="E604C53E"/>
    <w:lvl w:ilvl="0">
      <w:start w:val="12"/>
      <w:numFmt w:val="decimal"/>
      <w:lvlText w:val="%1."/>
      <w:lvlJc w:val="left"/>
      <w:pPr>
        <w:tabs>
          <w:tab w:val="num" w:pos="421"/>
        </w:tabs>
        <w:ind w:left="421" w:hanging="705"/>
      </w:pPr>
      <w:rPr>
        <w:rFonts w:hint="default"/>
      </w:rPr>
    </w:lvl>
  </w:abstractNum>
  <w:abstractNum w:abstractNumId="12" w15:restartNumberingAfterBreak="0">
    <w:nsid w:val="32384165"/>
    <w:multiLevelType w:val="multilevel"/>
    <w:tmpl w:val="2D44F0B2"/>
    <w:lvl w:ilvl="0">
      <w:start w:val="3"/>
      <w:numFmt w:val="decimal"/>
      <w:lvlText w:val="%1."/>
      <w:lvlJc w:val="left"/>
      <w:pPr>
        <w:tabs>
          <w:tab w:val="num" w:pos="-423"/>
        </w:tabs>
        <w:ind w:left="-423" w:hanging="570"/>
      </w:pPr>
      <w:rPr>
        <w:rFonts w:hint="default"/>
        <w:i w:val="0"/>
      </w:rPr>
    </w:lvl>
    <w:lvl w:ilvl="1">
      <w:start w:val="1"/>
      <w:numFmt w:val="decimal"/>
      <w:isLgl/>
      <w:lvlText w:val="%1.%2."/>
      <w:lvlJc w:val="left"/>
      <w:pPr>
        <w:tabs>
          <w:tab w:val="num" w:pos="1287"/>
        </w:tabs>
        <w:ind w:left="1287" w:hanging="720"/>
      </w:pPr>
      <w:rPr>
        <w:rFonts w:hint="default"/>
        <w:i w:val="0"/>
      </w:rPr>
    </w:lvl>
    <w:lvl w:ilvl="2">
      <w:start w:val="1"/>
      <w:numFmt w:val="decimal"/>
      <w:isLgl/>
      <w:lvlText w:val="%1.%2.%3."/>
      <w:lvlJc w:val="left"/>
      <w:pPr>
        <w:tabs>
          <w:tab w:val="num" w:pos="2847"/>
        </w:tabs>
        <w:ind w:left="2847" w:hanging="720"/>
      </w:pPr>
      <w:rPr>
        <w:rFonts w:hint="default"/>
        <w:i w:val="0"/>
      </w:rPr>
    </w:lvl>
    <w:lvl w:ilvl="3">
      <w:start w:val="1"/>
      <w:numFmt w:val="decimal"/>
      <w:isLgl/>
      <w:lvlText w:val="%1.%2.%3.%4."/>
      <w:lvlJc w:val="left"/>
      <w:pPr>
        <w:tabs>
          <w:tab w:val="num" w:pos="4767"/>
        </w:tabs>
        <w:ind w:left="4767" w:hanging="1080"/>
      </w:pPr>
      <w:rPr>
        <w:rFonts w:hint="default"/>
        <w:i w:val="0"/>
      </w:rPr>
    </w:lvl>
    <w:lvl w:ilvl="4">
      <w:start w:val="1"/>
      <w:numFmt w:val="decimal"/>
      <w:isLgl/>
      <w:lvlText w:val="%1.%2.%3.%4.%5."/>
      <w:lvlJc w:val="left"/>
      <w:pPr>
        <w:tabs>
          <w:tab w:val="num" w:pos="6327"/>
        </w:tabs>
        <w:ind w:left="6327" w:hanging="1080"/>
      </w:pPr>
      <w:rPr>
        <w:rFonts w:hint="default"/>
        <w:i w:val="0"/>
      </w:rPr>
    </w:lvl>
    <w:lvl w:ilvl="5">
      <w:start w:val="1"/>
      <w:numFmt w:val="decimal"/>
      <w:isLgl/>
      <w:lvlText w:val="%1.%2.%3.%4.%5.%6."/>
      <w:lvlJc w:val="left"/>
      <w:pPr>
        <w:tabs>
          <w:tab w:val="num" w:pos="8247"/>
        </w:tabs>
        <w:ind w:left="8247" w:hanging="1440"/>
      </w:pPr>
      <w:rPr>
        <w:rFonts w:hint="default"/>
        <w:i w:val="0"/>
      </w:rPr>
    </w:lvl>
    <w:lvl w:ilvl="6">
      <w:start w:val="1"/>
      <w:numFmt w:val="decimal"/>
      <w:isLgl/>
      <w:lvlText w:val="%1.%2.%3.%4.%5.%6.%7."/>
      <w:lvlJc w:val="left"/>
      <w:pPr>
        <w:tabs>
          <w:tab w:val="num" w:pos="9807"/>
        </w:tabs>
        <w:ind w:left="9807" w:hanging="1440"/>
      </w:pPr>
      <w:rPr>
        <w:rFonts w:hint="default"/>
        <w:i w:val="0"/>
      </w:rPr>
    </w:lvl>
    <w:lvl w:ilvl="7">
      <w:start w:val="1"/>
      <w:numFmt w:val="decimal"/>
      <w:isLgl/>
      <w:lvlText w:val="%1.%2.%3.%4.%5.%6.%7.%8."/>
      <w:lvlJc w:val="left"/>
      <w:pPr>
        <w:tabs>
          <w:tab w:val="num" w:pos="11727"/>
        </w:tabs>
        <w:ind w:left="11727" w:hanging="1800"/>
      </w:pPr>
      <w:rPr>
        <w:rFonts w:hint="default"/>
        <w:i w:val="0"/>
      </w:rPr>
    </w:lvl>
    <w:lvl w:ilvl="8">
      <w:start w:val="1"/>
      <w:numFmt w:val="decimal"/>
      <w:isLgl/>
      <w:lvlText w:val="%1.%2.%3.%4.%5.%6.%7.%8.%9."/>
      <w:lvlJc w:val="left"/>
      <w:pPr>
        <w:tabs>
          <w:tab w:val="num" w:pos="13287"/>
        </w:tabs>
        <w:ind w:left="13287" w:hanging="1800"/>
      </w:pPr>
      <w:rPr>
        <w:rFonts w:hint="default"/>
        <w:i w:val="0"/>
      </w:rPr>
    </w:lvl>
  </w:abstractNum>
  <w:abstractNum w:abstractNumId="13" w15:restartNumberingAfterBreak="0">
    <w:nsid w:val="33F31D91"/>
    <w:multiLevelType w:val="hybridMultilevel"/>
    <w:tmpl w:val="712AD3CA"/>
    <w:lvl w:ilvl="0" w:tplc="61149E54">
      <w:numFmt w:val="bullet"/>
      <w:lvlText w:val="-"/>
      <w:lvlJc w:val="left"/>
      <w:pPr>
        <w:ind w:left="360" w:hanging="360"/>
      </w:pPr>
      <w:rPr>
        <w:rFonts w:ascii="Calibri" w:eastAsia="Times New Roman" w:hAnsi="Calibri" w:cs="Times New Roman"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EF5068"/>
    <w:multiLevelType w:val="singleLevel"/>
    <w:tmpl w:val="04090011"/>
    <w:lvl w:ilvl="0">
      <w:start w:val="1"/>
      <w:numFmt w:val="decimal"/>
      <w:lvlText w:val="%1)"/>
      <w:lvlJc w:val="left"/>
      <w:pPr>
        <w:tabs>
          <w:tab w:val="num" w:pos="360"/>
        </w:tabs>
        <w:ind w:left="360" w:hanging="360"/>
      </w:pPr>
      <w:rPr>
        <w:rFonts w:hint="default"/>
      </w:rPr>
    </w:lvl>
  </w:abstractNum>
  <w:abstractNum w:abstractNumId="15" w15:restartNumberingAfterBreak="0">
    <w:nsid w:val="3E866918"/>
    <w:multiLevelType w:val="multilevel"/>
    <w:tmpl w:val="F1A839DA"/>
    <w:lvl w:ilvl="0">
      <w:start w:val="2"/>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BD664A"/>
    <w:multiLevelType w:val="hybridMultilevel"/>
    <w:tmpl w:val="893076BE"/>
    <w:lvl w:ilvl="0" w:tplc="E6D6373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2D05E49"/>
    <w:multiLevelType w:val="multilevel"/>
    <w:tmpl w:val="C2A6FE04"/>
    <w:lvl w:ilvl="0">
      <w:start w:val="2"/>
      <w:numFmt w:val="decimal"/>
      <w:lvlText w:val="%1."/>
      <w:lvlJc w:val="left"/>
      <w:pPr>
        <w:tabs>
          <w:tab w:val="num" w:pos="720"/>
        </w:tabs>
        <w:ind w:left="720" w:hanging="720"/>
      </w:pPr>
      <w:rPr>
        <w:rFonts w:hint="default"/>
        <w:u w:val="none"/>
      </w:rPr>
    </w:lvl>
    <w:lvl w:ilvl="1">
      <w:start w:val="5"/>
      <w:numFmt w:val="decimal"/>
      <w:lvlText w:val="%1.%2."/>
      <w:lvlJc w:val="left"/>
      <w:pPr>
        <w:tabs>
          <w:tab w:val="num" w:pos="436"/>
        </w:tabs>
        <w:ind w:left="436" w:hanging="720"/>
      </w:pPr>
      <w:rPr>
        <w:rFonts w:hint="default"/>
        <w:u w:val="none"/>
      </w:rPr>
    </w:lvl>
    <w:lvl w:ilvl="2">
      <w:start w:val="1"/>
      <w:numFmt w:val="decimal"/>
      <w:lvlText w:val="%1.%2.%3."/>
      <w:lvlJc w:val="left"/>
      <w:pPr>
        <w:tabs>
          <w:tab w:val="num" w:pos="512"/>
        </w:tabs>
        <w:ind w:left="512" w:hanging="1080"/>
      </w:pPr>
      <w:rPr>
        <w:rFonts w:hint="default"/>
        <w:u w:val="none"/>
      </w:rPr>
    </w:lvl>
    <w:lvl w:ilvl="3">
      <w:start w:val="1"/>
      <w:numFmt w:val="decimal"/>
      <w:lvlText w:val="%1.%2.%3.%4."/>
      <w:lvlJc w:val="left"/>
      <w:pPr>
        <w:tabs>
          <w:tab w:val="num" w:pos="228"/>
        </w:tabs>
        <w:ind w:left="228" w:hanging="1080"/>
      </w:pPr>
      <w:rPr>
        <w:rFonts w:hint="default"/>
        <w:u w:val="none"/>
      </w:rPr>
    </w:lvl>
    <w:lvl w:ilvl="4">
      <w:start w:val="1"/>
      <w:numFmt w:val="decimal"/>
      <w:lvlText w:val="%1.%2.%3.%4.%5."/>
      <w:lvlJc w:val="left"/>
      <w:pPr>
        <w:tabs>
          <w:tab w:val="num" w:pos="304"/>
        </w:tabs>
        <w:ind w:left="304" w:hanging="1440"/>
      </w:pPr>
      <w:rPr>
        <w:rFonts w:hint="default"/>
        <w:u w:val="none"/>
      </w:rPr>
    </w:lvl>
    <w:lvl w:ilvl="5">
      <w:start w:val="1"/>
      <w:numFmt w:val="decimal"/>
      <w:lvlText w:val="%1.%2.%3.%4.%5.%6."/>
      <w:lvlJc w:val="left"/>
      <w:pPr>
        <w:tabs>
          <w:tab w:val="num" w:pos="380"/>
        </w:tabs>
        <w:ind w:left="380" w:hanging="1800"/>
      </w:pPr>
      <w:rPr>
        <w:rFonts w:hint="default"/>
        <w:u w:val="none"/>
      </w:rPr>
    </w:lvl>
    <w:lvl w:ilvl="6">
      <w:start w:val="1"/>
      <w:numFmt w:val="decimal"/>
      <w:lvlText w:val="%1.%2.%3.%4.%5.%6.%7."/>
      <w:lvlJc w:val="left"/>
      <w:pPr>
        <w:tabs>
          <w:tab w:val="num" w:pos="96"/>
        </w:tabs>
        <w:ind w:left="96" w:hanging="1800"/>
      </w:pPr>
      <w:rPr>
        <w:rFonts w:hint="default"/>
        <w:u w:val="none"/>
      </w:rPr>
    </w:lvl>
    <w:lvl w:ilvl="7">
      <w:start w:val="1"/>
      <w:numFmt w:val="decimal"/>
      <w:lvlText w:val="%1.%2.%3.%4.%5.%6.%7.%8."/>
      <w:lvlJc w:val="left"/>
      <w:pPr>
        <w:tabs>
          <w:tab w:val="num" w:pos="172"/>
        </w:tabs>
        <w:ind w:left="172" w:hanging="2160"/>
      </w:pPr>
      <w:rPr>
        <w:rFonts w:hint="default"/>
        <w:u w:val="none"/>
      </w:rPr>
    </w:lvl>
    <w:lvl w:ilvl="8">
      <w:start w:val="1"/>
      <w:numFmt w:val="decimal"/>
      <w:lvlText w:val="%1.%2.%3.%4.%5.%6.%7.%8.%9."/>
      <w:lvlJc w:val="left"/>
      <w:pPr>
        <w:tabs>
          <w:tab w:val="num" w:pos="248"/>
        </w:tabs>
        <w:ind w:left="248" w:hanging="2520"/>
      </w:pPr>
      <w:rPr>
        <w:rFonts w:hint="default"/>
        <w:u w:val="none"/>
      </w:rPr>
    </w:lvl>
  </w:abstractNum>
  <w:abstractNum w:abstractNumId="18" w15:restartNumberingAfterBreak="0">
    <w:nsid w:val="44286D12"/>
    <w:multiLevelType w:val="hybridMultilevel"/>
    <w:tmpl w:val="3F6ECDE0"/>
    <w:lvl w:ilvl="0" w:tplc="DD9EA242">
      <w:start w:val="2"/>
      <w:numFmt w:val="bullet"/>
      <w:lvlText w:val="-"/>
      <w:lvlJc w:val="left"/>
      <w:pPr>
        <w:tabs>
          <w:tab w:val="num" w:pos="720"/>
        </w:tabs>
        <w:ind w:left="720" w:hanging="360"/>
      </w:pPr>
      <w:rPr>
        <w:rFonts w:ascii="Tahoma" w:eastAsia="Times New Roman" w:hAnsi="Tahoma" w:cs="Tahom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5079D6"/>
    <w:multiLevelType w:val="multilevel"/>
    <w:tmpl w:val="D640ED98"/>
    <w:lvl w:ilvl="0">
      <w:start w:val="2"/>
      <w:numFmt w:val="decimal"/>
      <w:lvlText w:val="%1."/>
      <w:lvlJc w:val="left"/>
      <w:pPr>
        <w:tabs>
          <w:tab w:val="num" w:pos="720"/>
        </w:tabs>
        <w:ind w:left="720" w:hanging="720"/>
      </w:pPr>
      <w:rPr>
        <w:rFonts w:hint="default"/>
        <w:u w:val="none"/>
      </w:rPr>
    </w:lvl>
    <w:lvl w:ilvl="1">
      <w:start w:val="11"/>
      <w:numFmt w:val="decimal"/>
      <w:lvlText w:val="%1.%2."/>
      <w:lvlJc w:val="left"/>
      <w:pPr>
        <w:tabs>
          <w:tab w:val="num" w:pos="436"/>
        </w:tabs>
        <w:ind w:left="436" w:hanging="720"/>
      </w:pPr>
      <w:rPr>
        <w:rFonts w:hint="default"/>
        <w:u w:val="none"/>
      </w:rPr>
    </w:lvl>
    <w:lvl w:ilvl="2">
      <w:start w:val="1"/>
      <w:numFmt w:val="decimal"/>
      <w:lvlText w:val="%1.%2.%3."/>
      <w:lvlJc w:val="left"/>
      <w:pPr>
        <w:tabs>
          <w:tab w:val="num" w:pos="512"/>
        </w:tabs>
        <w:ind w:left="512" w:hanging="1080"/>
      </w:pPr>
      <w:rPr>
        <w:rFonts w:hint="default"/>
        <w:u w:val="none"/>
      </w:rPr>
    </w:lvl>
    <w:lvl w:ilvl="3">
      <w:start w:val="1"/>
      <w:numFmt w:val="decimal"/>
      <w:lvlText w:val="%1.%2.%3.%4."/>
      <w:lvlJc w:val="left"/>
      <w:pPr>
        <w:tabs>
          <w:tab w:val="num" w:pos="228"/>
        </w:tabs>
        <w:ind w:left="228" w:hanging="1080"/>
      </w:pPr>
      <w:rPr>
        <w:rFonts w:hint="default"/>
        <w:u w:val="none"/>
      </w:rPr>
    </w:lvl>
    <w:lvl w:ilvl="4">
      <w:start w:val="1"/>
      <w:numFmt w:val="decimal"/>
      <w:lvlText w:val="%1.%2.%3.%4.%5."/>
      <w:lvlJc w:val="left"/>
      <w:pPr>
        <w:tabs>
          <w:tab w:val="num" w:pos="304"/>
        </w:tabs>
        <w:ind w:left="304" w:hanging="1440"/>
      </w:pPr>
      <w:rPr>
        <w:rFonts w:hint="default"/>
        <w:u w:val="none"/>
      </w:rPr>
    </w:lvl>
    <w:lvl w:ilvl="5">
      <w:start w:val="1"/>
      <w:numFmt w:val="decimal"/>
      <w:lvlText w:val="%1.%2.%3.%4.%5.%6."/>
      <w:lvlJc w:val="left"/>
      <w:pPr>
        <w:tabs>
          <w:tab w:val="num" w:pos="380"/>
        </w:tabs>
        <w:ind w:left="380" w:hanging="1800"/>
      </w:pPr>
      <w:rPr>
        <w:rFonts w:hint="default"/>
        <w:u w:val="none"/>
      </w:rPr>
    </w:lvl>
    <w:lvl w:ilvl="6">
      <w:start w:val="1"/>
      <w:numFmt w:val="decimal"/>
      <w:lvlText w:val="%1.%2.%3.%4.%5.%6.%7."/>
      <w:lvlJc w:val="left"/>
      <w:pPr>
        <w:tabs>
          <w:tab w:val="num" w:pos="96"/>
        </w:tabs>
        <w:ind w:left="96" w:hanging="1800"/>
      </w:pPr>
      <w:rPr>
        <w:rFonts w:hint="default"/>
        <w:u w:val="none"/>
      </w:rPr>
    </w:lvl>
    <w:lvl w:ilvl="7">
      <w:start w:val="1"/>
      <w:numFmt w:val="decimal"/>
      <w:lvlText w:val="%1.%2.%3.%4.%5.%6.%7.%8."/>
      <w:lvlJc w:val="left"/>
      <w:pPr>
        <w:tabs>
          <w:tab w:val="num" w:pos="172"/>
        </w:tabs>
        <w:ind w:left="172" w:hanging="2160"/>
      </w:pPr>
      <w:rPr>
        <w:rFonts w:hint="default"/>
        <w:u w:val="none"/>
      </w:rPr>
    </w:lvl>
    <w:lvl w:ilvl="8">
      <w:start w:val="1"/>
      <w:numFmt w:val="decimal"/>
      <w:lvlText w:val="%1.%2.%3.%4.%5.%6.%7.%8.%9."/>
      <w:lvlJc w:val="left"/>
      <w:pPr>
        <w:tabs>
          <w:tab w:val="num" w:pos="248"/>
        </w:tabs>
        <w:ind w:left="248" w:hanging="2520"/>
      </w:pPr>
      <w:rPr>
        <w:rFonts w:hint="default"/>
        <w:u w:val="none"/>
      </w:rPr>
    </w:lvl>
  </w:abstractNum>
  <w:abstractNum w:abstractNumId="20" w15:restartNumberingAfterBreak="0">
    <w:nsid w:val="4BC46FDC"/>
    <w:multiLevelType w:val="hybridMultilevel"/>
    <w:tmpl w:val="2BB6287E"/>
    <w:lvl w:ilvl="0" w:tplc="B0A07C82">
      <w:start w:val="7"/>
      <w:numFmt w:val="decimal"/>
      <w:lvlText w:val="%1."/>
      <w:lvlJc w:val="left"/>
      <w:pPr>
        <w:tabs>
          <w:tab w:val="num" w:pos="421"/>
        </w:tabs>
        <w:ind w:left="421" w:hanging="705"/>
      </w:pPr>
      <w:rPr>
        <w:rFonts w:hint="default"/>
        <w:u w:val="none"/>
      </w:rPr>
    </w:lvl>
    <w:lvl w:ilvl="1" w:tplc="04090019" w:tentative="1">
      <w:start w:val="1"/>
      <w:numFmt w:val="lowerLetter"/>
      <w:lvlText w:val="%2."/>
      <w:lvlJc w:val="left"/>
      <w:pPr>
        <w:tabs>
          <w:tab w:val="num" w:pos="796"/>
        </w:tabs>
        <w:ind w:left="796" w:hanging="360"/>
      </w:pPr>
    </w:lvl>
    <w:lvl w:ilvl="2" w:tplc="0409001B" w:tentative="1">
      <w:start w:val="1"/>
      <w:numFmt w:val="lowerRoman"/>
      <w:lvlText w:val="%3."/>
      <w:lvlJc w:val="right"/>
      <w:pPr>
        <w:tabs>
          <w:tab w:val="num" w:pos="1516"/>
        </w:tabs>
        <w:ind w:left="1516" w:hanging="180"/>
      </w:pPr>
    </w:lvl>
    <w:lvl w:ilvl="3" w:tplc="0409000F" w:tentative="1">
      <w:start w:val="1"/>
      <w:numFmt w:val="decimal"/>
      <w:lvlText w:val="%4."/>
      <w:lvlJc w:val="left"/>
      <w:pPr>
        <w:tabs>
          <w:tab w:val="num" w:pos="2236"/>
        </w:tabs>
        <w:ind w:left="2236" w:hanging="360"/>
      </w:pPr>
    </w:lvl>
    <w:lvl w:ilvl="4" w:tplc="04090019" w:tentative="1">
      <w:start w:val="1"/>
      <w:numFmt w:val="lowerLetter"/>
      <w:lvlText w:val="%5."/>
      <w:lvlJc w:val="left"/>
      <w:pPr>
        <w:tabs>
          <w:tab w:val="num" w:pos="2956"/>
        </w:tabs>
        <w:ind w:left="2956" w:hanging="360"/>
      </w:pPr>
    </w:lvl>
    <w:lvl w:ilvl="5" w:tplc="0409001B" w:tentative="1">
      <w:start w:val="1"/>
      <w:numFmt w:val="lowerRoman"/>
      <w:lvlText w:val="%6."/>
      <w:lvlJc w:val="right"/>
      <w:pPr>
        <w:tabs>
          <w:tab w:val="num" w:pos="3676"/>
        </w:tabs>
        <w:ind w:left="3676" w:hanging="180"/>
      </w:pPr>
    </w:lvl>
    <w:lvl w:ilvl="6" w:tplc="0409000F" w:tentative="1">
      <w:start w:val="1"/>
      <w:numFmt w:val="decimal"/>
      <w:lvlText w:val="%7."/>
      <w:lvlJc w:val="left"/>
      <w:pPr>
        <w:tabs>
          <w:tab w:val="num" w:pos="4396"/>
        </w:tabs>
        <w:ind w:left="4396" w:hanging="360"/>
      </w:pPr>
    </w:lvl>
    <w:lvl w:ilvl="7" w:tplc="04090019" w:tentative="1">
      <w:start w:val="1"/>
      <w:numFmt w:val="lowerLetter"/>
      <w:lvlText w:val="%8."/>
      <w:lvlJc w:val="left"/>
      <w:pPr>
        <w:tabs>
          <w:tab w:val="num" w:pos="5116"/>
        </w:tabs>
        <w:ind w:left="5116" w:hanging="360"/>
      </w:pPr>
    </w:lvl>
    <w:lvl w:ilvl="8" w:tplc="0409001B" w:tentative="1">
      <w:start w:val="1"/>
      <w:numFmt w:val="lowerRoman"/>
      <w:lvlText w:val="%9."/>
      <w:lvlJc w:val="right"/>
      <w:pPr>
        <w:tabs>
          <w:tab w:val="num" w:pos="5836"/>
        </w:tabs>
        <w:ind w:left="5836" w:hanging="180"/>
      </w:pPr>
    </w:lvl>
  </w:abstractNum>
  <w:abstractNum w:abstractNumId="21" w15:restartNumberingAfterBreak="0">
    <w:nsid w:val="4CB74A76"/>
    <w:multiLevelType w:val="singleLevel"/>
    <w:tmpl w:val="BE6224CC"/>
    <w:lvl w:ilvl="0">
      <w:start w:val="1"/>
      <w:numFmt w:val="bullet"/>
      <w:lvlText w:val="▪"/>
      <w:lvlJc w:val="left"/>
      <w:pPr>
        <w:tabs>
          <w:tab w:val="num" w:pos="360"/>
        </w:tabs>
        <w:ind w:left="360" w:hanging="360"/>
      </w:pPr>
      <w:rPr>
        <w:rFonts w:ascii="Arial" w:hAnsi="Arial" w:hint="default"/>
      </w:rPr>
    </w:lvl>
  </w:abstractNum>
  <w:abstractNum w:abstractNumId="22" w15:restartNumberingAfterBreak="0">
    <w:nsid w:val="4D50383F"/>
    <w:multiLevelType w:val="hybridMultilevel"/>
    <w:tmpl w:val="EA426470"/>
    <w:lvl w:ilvl="0" w:tplc="F92A6EB4">
      <w:start w:val="1"/>
      <w:numFmt w:val="decimal"/>
      <w:lvlText w:val="%1."/>
      <w:lvlJc w:val="left"/>
      <w:pPr>
        <w:tabs>
          <w:tab w:val="num" w:pos="-208"/>
        </w:tabs>
        <w:ind w:left="-208" w:hanging="360"/>
      </w:pPr>
      <w:rPr>
        <w:rFonts w:hint="default"/>
        <w:u w:val="single"/>
      </w:rPr>
    </w:lvl>
    <w:lvl w:ilvl="1" w:tplc="04090019" w:tentative="1">
      <w:start w:val="1"/>
      <w:numFmt w:val="lowerLetter"/>
      <w:lvlText w:val="%2."/>
      <w:lvlJc w:val="left"/>
      <w:pPr>
        <w:tabs>
          <w:tab w:val="num" w:pos="1156"/>
        </w:tabs>
        <w:ind w:left="1156" w:hanging="360"/>
      </w:pPr>
    </w:lvl>
    <w:lvl w:ilvl="2" w:tplc="0409001B" w:tentative="1">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23" w15:restartNumberingAfterBreak="0">
    <w:nsid w:val="4E1E25FE"/>
    <w:multiLevelType w:val="hybridMultilevel"/>
    <w:tmpl w:val="8F183554"/>
    <w:lvl w:ilvl="0" w:tplc="F92A6EB4">
      <w:start w:val="1"/>
      <w:numFmt w:val="decimal"/>
      <w:lvlText w:val="%1."/>
      <w:lvlJc w:val="left"/>
      <w:pPr>
        <w:tabs>
          <w:tab w:val="num" w:pos="76"/>
        </w:tabs>
        <w:ind w:left="76" w:hanging="360"/>
      </w:pPr>
      <w:rPr>
        <w:rFonts w:hint="default"/>
        <w:u w:val="single"/>
      </w:rPr>
    </w:lvl>
    <w:lvl w:ilvl="1" w:tplc="04090019" w:tentative="1">
      <w:start w:val="1"/>
      <w:numFmt w:val="lowerLetter"/>
      <w:lvlText w:val="%2."/>
      <w:lvlJc w:val="left"/>
      <w:pPr>
        <w:tabs>
          <w:tab w:val="num" w:pos="796"/>
        </w:tabs>
        <w:ind w:left="796" w:hanging="360"/>
      </w:pPr>
    </w:lvl>
    <w:lvl w:ilvl="2" w:tplc="0409001B" w:tentative="1">
      <w:start w:val="1"/>
      <w:numFmt w:val="lowerRoman"/>
      <w:lvlText w:val="%3."/>
      <w:lvlJc w:val="right"/>
      <w:pPr>
        <w:tabs>
          <w:tab w:val="num" w:pos="1516"/>
        </w:tabs>
        <w:ind w:left="1516" w:hanging="180"/>
      </w:pPr>
    </w:lvl>
    <w:lvl w:ilvl="3" w:tplc="0409000F" w:tentative="1">
      <w:start w:val="1"/>
      <w:numFmt w:val="decimal"/>
      <w:lvlText w:val="%4."/>
      <w:lvlJc w:val="left"/>
      <w:pPr>
        <w:tabs>
          <w:tab w:val="num" w:pos="2236"/>
        </w:tabs>
        <w:ind w:left="2236" w:hanging="360"/>
      </w:pPr>
    </w:lvl>
    <w:lvl w:ilvl="4" w:tplc="04090019" w:tentative="1">
      <w:start w:val="1"/>
      <w:numFmt w:val="lowerLetter"/>
      <w:lvlText w:val="%5."/>
      <w:lvlJc w:val="left"/>
      <w:pPr>
        <w:tabs>
          <w:tab w:val="num" w:pos="2956"/>
        </w:tabs>
        <w:ind w:left="2956" w:hanging="360"/>
      </w:pPr>
    </w:lvl>
    <w:lvl w:ilvl="5" w:tplc="0409001B" w:tentative="1">
      <w:start w:val="1"/>
      <w:numFmt w:val="lowerRoman"/>
      <w:lvlText w:val="%6."/>
      <w:lvlJc w:val="right"/>
      <w:pPr>
        <w:tabs>
          <w:tab w:val="num" w:pos="3676"/>
        </w:tabs>
        <w:ind w:left="3676" w:hanging="180"/>
      </w:pPr>
    </w:lvl>
    <w:lvl w:ilvl="6" w:tplc="0409000F" w:tentative="1">
      <w:start w:val="1"/>
      <w:numFmt w:val="decimal"/>
      <w:lvlText w:val="%7."/>
      <w:lvlJc w:val="left"/>
      <w:pPr>
        <w:tabs>
          <w:tab w:val="num" w:pos="4396"/>
        </w:tabs>
        <w:ind w:left="4396" w:hanging="360"/>
      </w:pPr>
    </w:lvl>
    <w:lvl w:ilvl="7" w:tplc="04090019" w:tentative="1">
      <w:start w:val="1"/>
      <w:numFmt w:val="lowerLetter"/>
      <w:lvlText w:val="%8."/>
      <w:lvlJc w:val="left"/>
      <w:pPr>
        <w:tabs>
          <w:tab w:val="num" w:pos="5116"/>
        </w:tabs>
        <w:ind w:left="5116" w:hanging="360"/>
      </w:pPr>
    </w:lvl>
    <w:lvl w:ilvl="8" w:tplc="0409001B" w:tentative="1">
      <w:start w:val="1"/>
      <w:numFmt w:val="lowerRoman"/>
      <w:lvlText w:val="%9."/>
      <w:lvlJc w:val="right"/>
      <w:pPr>
        <w:tabs>
          <w:tab w:val="num" w:pos="5836"/>
        </w:tabs>
        <w:ind w:left="5836" w:hanging="180"/>
      </w:pPr>
    </w:lvl>
  </w:abstractNum>
  <w:abstractNum w:abstractNumId="24" w15:restartNumberingAfterBreak="0">
    <w:nsid w:val="54B90CCD"/>
    <w:multiLevelType w:val="hybridMultilevel"/>
    <w:tmpl w:val="945E6968"/>
    <w:lvl w:ilvl="0" w:tplc="86920EF0">
      <w:start w:val="1"/>
      <w:numFmt w:val="decimal"/>
      <w:lvlText w:val="%1."/>
      <w:lvlJc w:val="left"/>
      <w:pPr>
        <w:tabs>
          <w:tab w:val="num" w:pos="421"/>
        </w:tabs>
        <w:ind w:left="421" w:hanging="705"/>
      </w:pPr>
      <w:rPr>
        <w:rFonts w:hint="default"/>
      </w:rPr>
    </w:lvl>
    <w:lvl w:ilvl="1" w:tplc="04090019" w:tentative="1">
      <w:start w:val="1"/>
      <w:numFmt w:val="lowerLetter"/>
      <w:lvlText w:val="%2."/>
      <w:lvlJc w:val="left"/>
      <w:pPr>
        <w:tabs>
          <w:tab w:val="num" w:pos="796"/>
        </w:tabs>
        <w:ind w:left="796" w:hanging="360"/>
      </w:pPr>
    </w:lvl>
    <w:lvl w:ilvl="2" w:tplc="0409001B" w:tentative="1">
      <w:start w:val="1"/>
      <w:numFmt w:val="lowerRoman"/>
      <w:lvlText w:val="%3."/>
      <w:lvlJc w:val="right"/>
      <w:pPr>
        <w:tabs>
          <w:tab w:val="num" w:pos="1516"/>
        </w:tabs>
        <w:ind w:left="1516" w:hanging="180"/>
      </w:pPr>
    </w:lvl>
    <w:lvl w:ilvl="3" w:tplc="0409000F" w:tentative="1">
      <w:start w:val="1"/>
      <w:numFmt w:val="decimal"/>
      <w:lvlText w:val="%4."/>
      <w:lvlJc w:val="left"/>
      <w:pPr>
        <w:tabs>
          <w:tab w:val="num" w:pos="2236"/>
        </w:tabs>
        <w:ind w:left="2236" w:hanging="360"/>
      </w:pPr>
    </w:lvl>
    <w:lvl w:ilvl="4" w:tplc="04090019" w:tentative="1">
      <w:start w:val="1"/>
      <w:numFmt w:val="lowerLetter"/>
      <w:lvlText w:val="%5."/>
      <w:lvlJc w:val="left"/>
      <w:pPr>
        <w:tabs>
          <w:tab w:val="num" w:pos="2956"/>
        </w:tabs>
        <w:ind w:left="2956" w:hanging="360"/>
      </w:pPr>
    </w:lvl>
    <w:lvl w:ilvl="5" w:tplc="0409001B" w:tentative="1">
      <w:start w:val="1"/>
      <w:numFmt w:val="lowerRoman"/>
      <w:lvlText w:val="%6."/>
      <w:lvlJc w:val="right"/>
      <w:pPr>
        <w:tabs>
          <w:tab w:val="num" w:pos="3676"/>
        </w:tabs>
        <w:ind w:left="3676" w:hanging="180"/>
      </w:pPr>
    </w:lvl>
    <w:lvl w:ilvl="6" w:tplc="0409000F" w:tentative="1">
      <w:start w:val="1"/>
      <w:numFmt w:val="decimal"/>
      <w:lvlText w:val="%7."/>
      <w:lvlJc w:val="left"/>
      <w:pPr>
        <w:tabs>
          <w:tab w:val="num" w:pos="4396"/>
        </w:tabs>
        <w:ind w:left="4396" w:hanging="360"/>
      </w:pPr>
    </w:lvl>
    <w:lvl w:ilvl="7" w:tplc="04090019" w:tentative="1">
      <w:start w:val="1"/>
      <w:numFmt w:val="lowerLetter"/>
      <w:lvlText w:val="%8."/>
      <w:lvlJc w:val="left"/>
      <w:pPr>
        <w:tabs>
          <w:tab w:val="num" w:pos="5116"/>
        </w:tabs>
        <w:ind w:left="5116" w:hanging="360"/>
      </w:pPr>
    </w:lvl>
    <w:lvl w:ilvl="8" w:tplc="0409001B" w:tentative="1">
      <w:start w:val="1"/>
      <w:numFmt w:val="lowerRoman"/>
      <w:lvlText w:val="%9."/>
      <w:lvlJc w:val="right"/>
      <w:pPr>
        <w:tabs>
          <w:tab w:val="num" w:pos="5836"/>
        </w:tabs>
        <w:ind w:left="5836" w:hanging="180"/>
      </w:pPr>
    </w:lvl>
  </w:abstractNum>
  <w:abstractNum w:abstractNumId="25" w15:restartNumberingAfterBreak="0">
    <w:nsid w:val="54BD27DC"/>
    <w:multiLevelType w:val="hybridMultilevel"/>
    <w:tmpl w:val="95321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8B3EA7"/>
    <w:multiLevelType w:val="hybridMultilevel"/>
    <w:tmpl w:val="2146DF08"/>
    <w:lvl w:ilvl="0" w:tplc="38906AA8">
      <w:start w:val="2"/>
      <w:numFmt w:val="decimal"/>
      <w:lvlText w:val="%1."/>
      <w:lvlJc w:val="left"/>
      <w:pPr>
        <w:tabs>
          <w:tab w:val="num" w:pos="421"/>
        </w:tabs>
        <w:ind w:left="421" w:hanging="705"/>
      </w:pPr>
      <w:rPr>
        <w:rFonts w:hint="default"/>
      </w:rPr>
    </w:lvl>
    <w:lvl w:ilvl="1" w:tplc="04090019" w:tentative="1">
      <w:start w:val="1"/>
      <w:numFmt w:val="lowerLetter"/>
      <w:lvlText w:val="%2."/>
      <w:lvlJc w:val="left"/>
      <w:pPr>
        <w:tabs>
          <w:tab w:val="num" w:pos="796"/>
        </w:tabs>
        <w:ind w:left="796" w:hanging="360"/>
      </w:pPr>
    </w:lvl>
    <w:lvl w:ilvl="2" w:tplc="0409001B" w:tentative="1">
      <w:start w:val="1"/>
      <w:numFmt w:val="lowerRoman"/>
      <w:lvlText w:val="%3."/>
      <w:lvlJc w:val="right"/>
      <w:pPr>
        <w:tabs>
          <w:tab w:val="num" w:pos="1516"/>
        </w:tabs>
        <w:ind w:left="1516" w:hanging="180"/>
      </w:pPr>
    </w:lvl>
    <w:lvl w:ilvl="3" w:tplc="0409000F" w:tentative="1">
      <w:start w:val="1"/>
      <w:numFmt w:val="decimal"/>
      <w:lvlText w:val="%4."/>
      <w:lvlJc w:val="left"/>
      <w:pPr>
        <w:tabs>
          <w:tab w:val="num" w:pos="2236"/>
        </w:tabs>
        <w:ind w:left="2236" w:hanging="360"/>
      </w:pPr>
    </w:lvl>
    <w:lvl w:ilvl="4" w:tplc="04090019" w:tentative="1">
      <w:start w:val="1"/>
      <w:numFmt w:val="lowerLetter"/>
      <w:lvlText w:val="%5."/>
      <w:lvlJc w:val="left"/>
      <w:pPr>
        <w:tabs>
          <w:tab w:val="num" w:pos="2956"/>
        </w:tabs>
        <w:ind w:left="2956" w:hanging="360"/>
      </w:pPr>
    </w:lvl>
    <w:lvl w:ilvl="5" w:tplc="0409001B" w:tentative="1">
      <w:start w:val="1"/>
      <w:numFmt w:val="lowerRoman"/>
      <w:lvlText w:val="%6."/>
      <w:lvlJc w:val="right"/>
      <w:pPr>
        <w:tabs>
          <w:tab w:val="num" w:pos="3676"/>
        </w:tabs>
        <w:ind w:left="3676" w:hanging="180"/>
      </w:pPr>
    </w:lvl>
    <w:lvl w:ilvl="6" w:tplc="0409000F" w:tentative="1">
      <w:start w:val="1"/>
      <w:numFmt w:val="decimal"/>
      <w:lvlText w:val="%7."/>
      <w:lvlJc w:val="left"/>
      <w:pPr>
        <w:tabs>
          <w:tab w:val="num" w:pos="4396"/>
        </w:tabs>
        <w:ind w:left="4396" w:hanging="360"/>
      </w:pPr>
    </w:lvl>
    <w:lvl w:ilvl="7" w:tplc="04090019" w:tentative="1">
      <w:start w:val="1"/>
      <w:numFmt w:val="lowerLetter"/>
      <w:lvlText w:val="%8."/>
      <w:lvlJc w:val="left"/>
      <w:pPr>
        <w:tabs>
          <w:tab w:val="num" w:pos="5116"/>
        </w:tabs>
        <w:ind w:left="5116" w:hanging="360"/>
      </w:pPr>
    </w:lvl>
    <w:lvl w:ilvl="8" w:tplc="0409001B" w:tentative="1">
      <w:start w:val="1"/>
      <w:numFmt w:val="lowerRoman"/>
      <w:lvlText w:val="%9."/>
      <w:lvlJc w:val="right"/>
      <w:pPr>
        <w:tabs>
          <w:tab w:val="num" w:pos="5836"/>
        </w:tabs>
        <w:ind w:left="5836" w:hanging="180"/>
      </w:pPr>
    </w:lvl>
  </w:abstractNum>
  <w:abstractNum w:abstractNumId="27" w15:restartNumberingAfterBreak="0">
    <w:nsid w:val="63976EFD"/>
    <w:multiLevelType w:val="hybridMultilevel"/>
    <w:tmpl w:val="7B46B630"/>
    <w:lvl w:ilvl="0" w:tplc="8050EC36">
      <w:start w:val="1"/>
      <w:numFmt w:val="bullet"/>
      <w:lvlText w:val="-"/>
      <w:lvlJc w:val="left"/>
      <w:pPr>
        <w:tabs>
          <w:tab w:val="num" w:pos="792"/>
        </w:tabs>
        <w:ind w:left="792" w:hanging="432"/>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1B7784"/>
    <w:multiLevelType w:val="hybridMultilevel"/>
    <w:tmpl w:val="3B2C9088"/>
    <w:lvl w:ilvl="0" w:tplc="8876C05C">
      <w:start w:val="2"/>
      <w:numFmt w:val="bullet"/>
      <w:lvlText w:val="-"/>
      <w:lvlJc w:val="left"/>
      <w:pPr>
        <w:tabs>
          <w:tab w:val="num" w:pos="780"/>
        </w:tabs>
        <w:ind w:left="780" w:hanging="420"/>
      </w:pPr>
      <w:rPr>
        <w:rFonts w:ascii="Arial Narrow" w:eastAsia="Times New Roman" w:hAnsi="Arial Narrow"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F42A08"/>
    <w:multiLevelType w:val="singleLevel"/>
    <w:tmpl w:val="4E548258"/>
    <w:lvl w:ilvl="0">
      <w:numFmt w:val="bullet"/>
      <w:lvlText w:val="-"/>
      <w:lvlJc w:val="left"/>
      <w:pPr>
        <w:tabs>
          <w:tab w:val="num" w:pos="360"/>
        </w:tabs>
        <w:ind w:left="360" w:hanging="360"/>
      </w:pPr>
      <w:rPr>
        <w:rFonts w:hint="default"/>
      </w:rPr>
    </w:lvl>
  </w:abstractNum>
  <w:abstractNum w:abstractNumId="30" w15:restartNumberingAfterBreak="0">
    <w:nsid w:val="6C072762"/>
    <w:multiLevelType w:val="multilevel"/>
    <w:tmpl w:val="2842C268"/>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474B4F"/>
    <w:multiLevelType w:val="hybridMultilevel"/>
    <w:tmpl w:val="E8B28176"/>
    <w:lvl w:ilvl="0" w:tplc="0FDCB2F4">
      <w:start w:val="8"/>
      <w:numFmt w:val="decimal"/>
      <w:lvlText w:val="%1."/>
      <w:lvlJc w:val="left"/>
      <w:pPr>
        <w:tabs>
          <w:tab w:val="num" w:pos="421"/>
        </w:tabs>
        <w:ind w:left="421" w:hanging="705"/>
      </w:pPr>
      <w:rPr>
        <w:rFonts w:hint="default"/>
      </w:rPr>
    </w:lvl>
    <w:lvl w:ilvl="1" w:tplc="04090019" w:tentative="1">
      <w:start w:val="1"/>
      <w:numFmt w:val="lowerLetter"/>
      <w:lvlText w:val="%2."/>
      <w:lvlJc w:val="left"/>
      <w:pPr>
        <w:tabs>
          <w:tab w:val="num" w:pos="796"/>
        </w:tabs>
        <w:ind w:left="796" w:hanging="360"/>
      </w:pPr>
    </w:lvl>
    <w:lvl w:ilvl="2" w:tplc="0409001B" w:tentative="1">
      <w:start w:val="1"/>
      <w:numFmt w:val="lowerRoman"/>
      <w:lvlText w:val="%3."/>
      <w:lvlJc w:val="right"/>
      <w:pPr>
        <w:tabs>
          <w:tab w:val="num" w:pos="1516"/>
        </w:tabs>
        <w:ind w:left="1516" w:hanging="180"/>
      </w:pPr>
    </w:lvl>
    <w:lvl w:ilvl="3" w:tplc="0409000F" w:tentative="1">
      <w:start w:val="1"/>
      <w:numFmt w:val="decimal"/>
      <w:lvlText w:val="%4."/>
      <w:lvlJc w:val="left"/>
      <w:pPr>
        <w:tabs>
          <w:tab w:val="num" w:pos="2236"/>
        </w:tabs>
        <w:ind w:left="2236" w:hanging="360"/>
      </w:pPr>
    </w:lvl>
    <w:lvl w:ilvl="4" w:tplc="04090019" w:tentative="1">
      <w:start w:val="1"/>
      <w:numFmt w:val="lowerLetter"/>
      <w:lvlText w:val="%5."/>
      <w:lvlJc w:val="left"/>
      <w:pPr>
        <w:tabs>
          <w:tab w:val="num" w:pos="2956"/>
        </w:tabs>
        <w:ind w:left="2956" w:hanging="360"/>
      </w:pPr>
    </w:lvl>
    <w:lvl w:ilvl="5" w:tplc="0409001B" w:tentative="1">
      <w:start w:val="1"/>
      <w:numFmt w:val="lowerRoman"/>
      <w:lvlText w:val="%6."/>
      <w:lvlJc w:val="right"/>
      <w:pPr>
        <w:tabs>
          <w:tab w:val="num" w:pos="3676"/>
        </w:tabs>
        <w:ind w:left="3676" w:hanging="180"/>
      </w:pPr>
    </w:lvl>
    <w:lvl w:ilvl="6" w:tplc="0409000F" w:tentative="1">
      <w:start w:val="1"/>
      <w:numFmt w:val="decimal"/>
      <w:lvlText w:val="%7."/>
      <w:lvlJc w:val="left"/>
      <w:pPr>
        <w:tabs>
          <w:tab w:val="num" w:pos="4396"/>
        </w:tabs>
        <w:ind w:left="4396" w:hanging="360"/>
      </w:pPr>
    </w:lvl>
    <w:lvl w:ilvl="7" w:tplc="04090019" w:tentative="1">
      <w:start w:val="1"/>
      <w:numFmt w:val="lowerLetter"/>
      <w:lvlText w:val="%8."/>
      <w:lvlJc w:val="left"/>
      <w:pPr>
        <w:tabs>
          <w:tab w:val="num" w:pos="5116"/>
        </w:tabs>
        <w:ind w:left="5116" w:hanging="360"/>
      </w:pPr>
    </w:lvl>
    <w:lvl w:ilvl="8" w:tplc="0409001B" w:tentative="1">
      <w:start w:val="1"/>
      <w:numFmt w:val="lowerRoman"/>
      <w:lvlText w:val="%9."/>
      <w:lvlJc w:val="right"/>
      <w:pPr>
        <w:tabs>
          <w:tab w:val="num" w:pos="5836"/>
        </w:tabs>
        <w:ind w:left="5836" w:hanging="180"/>
      </w:pPr>
    </w:lvl>
  </w:abstractNum>
  <w:abstractNum w:abstractNumId="32" w15:restartNumberingAfterBreak="0">
    <w:nsid w:val="73C06ACD"/>
    <w:multiLevelType w:val="singleLevel"/>
    <w:tmpl w:val="04090011"/>
    <w:lvl w:ilvl="0">
      <w:start w:val="1"/>
      <w:numFmt w:val="decimal"/>
      <w:lvlText w:val="%1)"/>
      <w:lvlJc w:val="left"/>
      <w:pPr>
        <w:tabs>
          <w:tab w:val="num" w:pos="360"/>
        </w:tabs>
        <w:ind w:left="360" w:hanging="360"/>
      </w:pPr>
      <w:rPr>
        <w:rFonts w:hint="default"/>
      </w:rPr>
    </w:lvl>
  </w:abstractNum>
  <w:abstractNum w:abstractNumId="33" w15:restartNumberingAfterBreak="0">
    <w:nsid w:val="7C743F9E"/>
    <w:multiLevelType w:val="multilevel"/>
    <w:tmpl w:val="8D488D6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436"/>
        </w:tabs>
        <w:ind w:left="436"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264"/>
        </w:tabs>
        <w:ind w:left="-264" w:hanging="144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34" w15:restartNumberingAfterBreak="0">
    <w:nsid w:val="7F5D744B"/>
    <w:multiLevelType w:val="hybridMultilevel"/>
    <w:tmpl w:val="8F5C4DBC"/>
    <w:lvl w:ilvl="0" w:tplc="38906AA8">
      <w:start w:val="2"/>
      <w:numFmt w:val="decimal"/>
      <w:lvlText w:val="%1."/>
      <w:lvlJc w:val="left"/>
      <w:pPr>
        <w:tabs>
          <w:tab w:val="num" w:pos="421"/>
        </w:tabs>
        <w:ind w:left="421"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9"/>
  </w:num>
  <w:num w:numId="3">
    <w:abstractNumId w:val="32"/>
  </w:num>
  <w:num w:numId="4">
    <w:abstractNumId w:val="21"/>
  </w:num>
  <w:num w:numId="5">
    <w:abstractNumId w:val="6"/>
  </w:num>
  <w:num w:numId="6">
    <w:abstractNumId w:val="12"/>
  </w:num>
  <w:num w:numId="7">
    <w:abstractNumId w:val="7"/>
  </w:num>
  <w:num w:numId="8">
    <w:abstractNumId w:val="8"/>
  </w:num>
  <w:num w:numId="9">
    <w:abstractNumId w:val="11"/>
  </w:num>
  <w:num w:numId="10">
    <w:abstractNumId w:val="33"/>
  </w:num>
  <w:num w:numId="11">
    <w:abstractNumId w:val="15"/>
  </w:num>
  <w:num w:numId="12">
    <w:abstractNumId w:val="30"/>
  </w:num>
  <w:num w:numId="13">
    <w:abstractNumId w:val="26"/>
  </w:num>
  <w:num w:numId="14">
    <w:abstractNumId w:val="31"/>
  </w:num>
  <w:num w:numId="15">
    <w:abstractNumId w:val="5"/>
  </w:num>
  <w:num w:numId="16">
    <w:abstractNumId w:val="20"/>
  </w:num>
  <w:num w:numId="17">
    <w:abstractNumId w:val="34"/>
  </w:num>
  <w:num w:numId="18">
    <w:abstractNumId w:val="23"/>
  </w:num>
  <w:num w:numId="19">
    <w:abstractNumId w:val="22"/>
  </w:num>
  <w:num w:numId="20">
    <w:abstractNumId w:val="24"/>
  </w:num>
  <w:num w:numId="21">
    <w:abstractNumId w:val="28"/>
  </w:num>
  <w:num w:numId="22">
    <w:abstractNumId w:val="4"/>
  </w:num>
  <w:num w:numId="23">
    <w:abstractNumId w:val="9"/>
  </w:num>
  <w:num w:numId="24">
    <w:abstractNumId w:val="27"/>
  </w:num>
  <w:num w:numId="25">
    <w:abstractNumId w:val="2"/>
  </w:num>
  <w:num w:numId="26">
    <w:abstractNumId w:val="17"/>
  </w:num>
  <w:num w:numId="27">
    <w:abstractNumId w:val="19"/>
  </w:num>
  <w:num w:numId="28">
    <w:abstractNumId w:val="25"/>
  </w:num>
  <w:num w:numId="29">
    <w:abstractNumId w:val="10"/>
  </w:num>
  <w:num w:numId="30">
    <w:abstractNumId w:val="18"/>
  </w:num>
  <w:num w:numId="31">
    <w:abstractNumId w:val="0"/>
  </w:num>
  <w:num w:numId="32">
    <w:abstractNumId w:val="16"/>
  </w:num>
  <w:num w:numId="33">
    <w:abstractNumId w:val="1"/>
  </w:num>
  <w:num w:numId="34">
    <w:abstractNumId w:val="3"/>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3D5"/>
    <w:rsid w:val="00005D53"/>
    <w:rsid w:val="000220C9"/>
    <w:rsid w:val="000236C0"/>
    <w:rsid w:val="000269C8"/>
    <w:rsid w:val="00026E79"/>
    <w:rsid w:val="00043E2C"/>
    <w:rsid w:val="00053B35"/>
    <w:rsid w:val="00060AA0"/>
    <w:rsid w:val="00070AA0"/>
    <w:rsid w:val="00072FF0"/>
    <w:rsid w:val="00083E71"/>
    <w:rsid w:val="000B07A4"/>
    <w:rsid w:val="000F7AC1"/>
    <w:rsid w:val="00101DAF"/>
    <w:rsid w:val="00111DB6"/>
    <w:rsid w:val="00114B4F"/>
    <w:rsid w:val="00136BE9"/>
    <w:rsid w:val="00136DC7"/>
    <w:rsid w:val="001742D7"/>
    <w:rsid w:val="001805C0"/>
    <w:rsid w:val="00193EC9"/>
    <w:rsid w:val="00196265"/>
    <w:rsid w:val="001A1397"/>
    <w:rsid w:val="001B45EF"/>
    <w:rsid w:val="001C1FCE"/>
    <w:rsid w:val="001D6545"/>
    <w:rsid w:val="001E3896"/>
    <w:rsid w:val="001E4F77"/>
    <w:rsid w:val="001F744F"/>
    <w:rsid w:val="00203D3A"/>
    <w:rsid w:val="00213C84"/>
    <w:rsid w:val="00217E53"/>
    <w:rsid w:val="00227FC1"/>
    <w:rsid w:val="00234048"/>
    <w:rsid w:val="0024057E"/>
    <w:rsid w:val="00242CDF"/>
    <w:rsid w:val="002461B0"/>
    <w:rsid w:val="0025237E"/>
    <w:rsid w:val="002525B8"/>
    <w:rsid w:val="0025489D"/>
    <w:rsid w:val="00254D31"/>
    <w:rsid w:val="00257AA8"/>
    <w:rsid w:val="002747EA"/>
    <w:rsid w:val="00275B5C"/>
    <w:rsid w:val="00280839"/>
    <w:rsid w:val="00286AF1"/>
    <w:rsid w:val="002C244F"/>
    <w:rsid w:val="002C56EA"/>
    <w:rsid w:val="002D06A8"/>
    <w:rsid w:val="002D154B"/>
    <w:rsid w:val="002D2CA8"/>
    <w:rsid w:val="002E13CA"/>
    <w:rsid w:val="002E1B4A"/>
    <w:rsid w:val="002E2A91"/>
    <w:rsid w:val="002E51A3"/>
    <w:rsid w:val="00300CB4"/>
    <w:rsid w:val="00324AAE"/>
    <w:rsid w:val="0033387F"/>
    <w:rsid w:val="00337787"/>
    <w:rsid w:val="00337E39"/>
    <w:rsid w:val="0035100D"/>
    <w:rsid w:val="00351C02"/>
    <w:rsid w:val="00363C21"/>
    <w:rsid w:val="003706A5"/>
    <w:rsid w:val="00372A68"/>
    <w:rsid w:val="00374154"/>
    <w:rsid w:val="00376BE4"/>
    <w:rsid w:val="00391C48"/>
    <w:rsid w:val="003A42DF"/>
    <w:rsid w:val="003A650F"/>
    <w:rsid w:val="003B4B3D"/>
    <w:rsid w:val="003E0C72"/>
    <w:rsid w:val="0040184C"/>
    <w:rsid w:val="00415D65"/>
    <w:rsid w:val="00417976"/>
    <w:rsid w:val="00441B89"/>
    <w:rsid w:val="00443AB2"/>
    <w:rsid w:val="0046778D"/>
    <w:rsid w:val="00474193"/>
    <w:rsid w:val="00484D4E"/>
    <w:rsid w:val="004869F0"/>
    <w:rsid w:val="00494197"/>
    <w:rsid w:val="00496CE4"/>
    <w:rsid w:val="00496D63"/>
    <w:rsid w:val="004C26CF"/>
    <w:rsid w:val="004C30E8"/>
    <w:rsid w:val="004C4059"/>
    <w:rsid w:val="004D37C5"/>
    <w:rsid w:val="004D4514"/>
    <w:rsid w:val="004D6E2D"/>
    <w:rsid w:val="004E6BFD"/>
    <w:rsid w:val="004F0711"/>
    <w:rsid w:val="004F202B"/>
    <w:rsid w:val="004F2A2E"/>
    <w:rsid w:val="004F6C6D"/>
    <w:rsid w:val="00502684"/>
    <w:rsid w:val="00512E66"/>
    <w:rsid w:val="00515418"/>
    <w:rsid w:val="00517708"/>
    <w:rsid w:val="00521DD8"/>
    <w:rsid w:val="00525E20"/>
    <w:rsid w:val="005349BA"/>
    <w:rsid w:val="00562BBE"/>
    <w:rsid w:val="00570AC6"/>
    <w:rsid w:val="00577609"/>
    <w:rsid w:val="00596913"/>
    <w:rsid w:val="005B470F"/>
    <w:rsid w:val="005F2187"/>
    <w:rsid w:val="005F41D8"/>
    <w:rsid w:val="00614973"/>
    <w:rsid w:val="0061771C"/>
    <w:rsid w:val="00623F7A"/>
    <w:rsid w:val="0062498A"/>
    <w:rsid w:val="006339C2"/>
    <w:rsid w:val="00635D83"/>
    <w:rsid w:val="0064739F"/>
    <w:rsid w:val="00654313"/>
    <w:rsid w:val="00695F6F"/>
    <w:rsid w:val="006A2696"/>
    <w:rsid w:val="006A711F"/>
    <w:rsid w:val="006C3537"/>
    <w:rsid w:val="006D7E5B"/>
    <w:rsid w:val="006E0ADD"/>
    <w:rsid w:val="006F07DB"/>
    <w:rsid w:val="007126F5"/>
    <w:rsid w:val="00732D6D"/>
    <w:rsid w:val="007375E8"/>
    <w:rsid w:val="007445BB"/>
    <w:rsid w:val="00753986"/>
    <w:rsid w:val="007553D5"/>
    <w:rsid w:val="00786A27"/>
    <w:rsid w:val="00793FEE"/>
    <w:rsid w:val="007B35BE"/>
    <w:rsid w:val="007B5A7A"/>
    <w:rsid w:val="007C1B39"/>
    <w:rsid w:val="007C25C4"/>
    <w:rsid w:val="007F588B"/>
    <w:rsid w:val="00806CA2"/>
    <w:rsid w:val="008369E0"/>
    <w:rsid w:val="008463A1"/>
    <w:rsid w:val="0086042B"/>
    <w:rsid w:val="008633C6"/>
    <w:rsid w:val="008771EB"/>
    <w:rsid w:val="0088251A"/>
    <w:rsid w:val="00891E98"/>
    <w:rsid w:val="00894463"/>
    <w:rsid w:val="00895801"/>
    <w:rsid w:val="008A5145"/>
    <w:rsid w:val="008E5F23"/>
    <w:rsid w:val="00912B11"/>
    <w:rsid w:val="00920A98"/>
    <w:rsid w:val="00926139"/>
    <w:rsid w:val="00932FC9"/>
    <w:rsid w:val="00936CD4"/>
    <w:rsid w:val="00941812"/>
    <w:rsid w:val="009607F4"/>
    <w:rsid w:val="009615DB"/>
    <w:rsid w:val="0098252A"/>
    <w:rsid w:val="00987410"/>
    <w:rsid w:val="009926AF"/>
    <w:rsid w:val="009A36BD"/>
    <w:rsid w:val="009B66DB"/>
    <w:rsid w:val="009C09AE"/>
    <w:rsid w:val="009C16B9"/>
    <w:rsid w:val="009D0F80"/>
    <w:rsid w:val="009D79BF"/>
    <w:rsid w:val="009E2D63"/>
    <w:rsid w:val="009F25A9"/>
    <w:rsid w:val="009F5373"/>
    <w:rsid w:val="00A11A3B"/>
    <w:rsid w:val="00A15486"/>
    <w:rsid w:val="00A209D0"/>
    <w:rsid w:val="00A336FB"/>
    <w:rsid w:val="00A3531B"/>
    <w:rsid w:val="00A36CC6"/>
    <w:rsid w:val="00A60F51"/>
    <w:rsid w:val="00A622A8"/>
    <w:rsid w:val="00A87AC3"/>
    <w:rsid w:val="00A95BFA"/>
    <w:rsid w:val="00AB3C75"/>
    <w:rsid w:val="00AD65E3"/>
    <w:rsid w:val="00AE2084"/>
    <w:rsid w:val="00AE72E7"/>
    <w:rsid w:val="00AF2883"/>
    <w:rsid w:val="00AF6775"/>
    <w:rsid w:val="00B006E0"/>
    <w:rsid w:val="00B21BFC"/>
    <w:rsid w:val="00B3358E"/>
    <w:rsid w:val="00B351C1"/>
    <w:rsid w:val="00B43BBD"/>
    <w:rsid w:val="00B61194"/>
    <w:rsid w:val="00B96A43"/>
    <w:rsid w:val="00BA66C4"/>
    <w:rsid w:val="00BA7D4C"/>
    <w:rsid w:val="00BC299A"/>
    <w:rsid w:val="00BD5979"/>
    <w:rsid w:val="00BD5C10"/>
    <w:rsid w:val="00BD60EF"/>
    <w:rsid w:val="00BE11EB"/>
    <w:rsid w:val="00BF2F03"/>
    <w:rsid w:val="00C0276A"/>
    <w:rsid w:val="00C067B1"/>
    <w:rsid w:val="00C27A7F"/>
    <w:rsid w:val="00C325A5"/>
    <w:rsid w:val="00C344CD"/>
    <w:rsid w:val="00C5241D"/>
    <w:rsid w:val="00C54022"/>
    <w:rsid w:val="00C540E8"/>
    <w:rsid w:val="00C60202"/>
    <w:rsid w:val="00C64E16"/>
    <w:rsid w:val="00C737DA"/>
    <w:rsid w:val="00C801AC"/>
    <w:rsid w:val="00C81582"/>
    <w:rsid w:val="00C969FB"/>
    <w:rsid w:val="00CB786F"/>
    <w:rsid w:val="00CF0AFF"/>
    <w:rsid w:val="00CF1430"/>
    <w:rsid w:val="00CF6412"/>
    <w:rsid w:val="00D03DA6"/>
    <w:rsid w:val="00D163D7"/>
    <w:rsid w:val="00D31F56"/>
    <w:rsid w:val="00D572DE"/>
    <w:rsid w:val="00D61F3B"/>
    <w:rsid w:val="00D90381"/>
    <w:rsid w:val="00D9526F"/>
    <w:rsid w:val="00DA4CFA"/>
    <w:rsid w:val="00DB63D9"/>
    <w:rsid w:val="00DC0246"/>
    <w:rsid w:val="00DD6F3B"/>
    <w:rsid w:val="00DE07DE"/>
    <w:rsid w:val="00DF69C7"/>
    <w:rsid w:val="00E12CF8"/>
    <w:rsid w:val="00E14CC6"/>
    <w:rsid w:val="00E27FFB"/>
    <w:rsid w:val="00E3161E"/>
    <w:rsid w:val="00E44C32"/>
    <w:rsid w:val="00E6369C"/>
    <w:rsid w:val="00E7296B"/>
    <w:rsid w:val="00E73D9E"/>
    <w:rsid w:val="00E8107B"/>
    <w:rsid w:val="00E84CA5"/>
    <w:rsid w:val="00E85F57"/>
    <w:rsid w:val="00E95004"/>
    <w:rsid w:val="00EA4054"/>
    <w:rsid w:val="00EA7DBC"/>
    <w:rsid w:val="00EB1279"/>
    <w:rsid w:val="00EB1CE7"/>
    <w:rsid w:val="00EB7FC2"/>
    <w:rsid w:val="00EC4C41"/>
    <w:rsid w:val="00EE0376"/>
    <w:rsid w:val="00EF0CEC"/>
    <w:rsid w:val="00F20FD6"/>
    <w:rsid w:val="00F226AD"/>
    <w:rsid w:val="00F4196E"/>
    <w:rsid w:val="00F535F0"/>
    <w:rsid w:val="00F579A4"/>
    <w:rsid w:val="00F61FEE"/>
    <w:rsid w:val="00F62969"/>
    <w:rsid w:val="00F72830"/>
    <w:rsid w:val="00F768DE"/>
    <w:rsid w:val="00F76F7B"/>
    <w:rsid w:val="00F9170A"/>
    <w:rsid w:val="00FA764C"/>
    <w:rsid w:val="00FC12F9"/>
    <w:rsid w:val="00FC166E"/>
    <w:rsid w:val="00FC27EA"/>
    <w:rsid w:val="00FC6B0D"/>
    <w:rsid w:val="00FD15B5"/>
    <w:rsid w:val="00FD5024"/>
    <w:rsid w:val="00FD6C83"/>
    <w:rsid w:val="00FF61E8"/>
    <w:rsid w:val="00FF68C5"/>
    <w:rsid w:val="7FA80C2C"/>
  </w:rsids>
  <m:mathPr>
    <m:mathFont m:val="Cambria Math"/>
    <m:brkBin m:val="before"/>
    <m:brkBinSub m:val="--"/>
    <m:smallFrac m:val="0"/>
    <m:dispDef/>
    <m:lMargin m:val="0"/>
    <m:rMargin m:val="0"/>
    <m:defJc m:val="centerGroup"/>
    <m:wrapIndent m:val="1440"/>
    <m:intLim m:val="subSup"/>
    <m:naryLim m:val="undOvr"/>
  </m:mathPr>
  <w:themeFontLang w:val="en-GB" w:eastAsia="ja-JP" w:bidi="bn-B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eaeaea"/>
    </o:shapedefaults>
    <o:shapelayout v:ext="edit">
      <o:idmap v:ext="edit" data="1"/>
    </o:shapelayout>
  </w:shapeDefaults>
  <w:decimalSymbol w:val="."/>
  <w:listSeparator w:val=","/>
  <w14:docId w14:val="081057A4"/>
  <w15:docId w15:val="{F00D4FF7-849E-4C47-9726-B7FEA90B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en-GB" w:bidi="ar-SA"/>
      </w:rPr>
    </w:rPrDefault>
    <w:pPrDefault/>
  </w:docDefaults>
  <w:latentStyles w:defLockedState="0" w:defUIPriority="0" w:defSemiHidden="0" w:defUnhideWhenUsed="0" w:defQFormat="0" w:count="373">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926AF"/>
    <w:rPr>
      <w:sz w:val="24"/>
      <w:szCs w:val="24"/>
      <w:lang w:eastAsia="en-US" w:bidi="en-US"/>
    </w:rPr>
  </w:style>
  <w:style w:type="paragraph" w:styleId="Heading1">
    <w:name w:val="heading 1"/>
    <w:basedOn w:val="Normal"/>
    <w:next w:val="Normal"/>
    <w:link w:val="Heading1Char"/>
    <w:uiPriority w:val="9"/>
    <w:qFormat/>
    <w:rsid w:val="008E5F2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8E5F2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8E5F23"/>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8E5F2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8E5F23"/>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8E5F23"/>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8E5F23"/>
    <w:pPr>
      <w:spacing w:before="240" w:after="60"/>
      <w:outlineLvl w:val="6"/>
    </w:pPr>
  </w:style>
  <w:style w:type="paragraph" w:styleId="Heading8">
    <w:name w:val="heading 8"/>
    <w:basedOn w:val="Normal"/>
    <w:next w:val="Normal"/>
    <w:link w:val="Heading8Char"/>
    <w:uiPriority w:val="9"/>
    <w:unhideWhenUsed/>
    <w:qFormat/>
    <w:rsid w:val="008E5F23"/>
    <w:pPr>
      <w:spacing w:before="240" w:after="60"/>
      <w:outlineLvl w:val="7"/>
    </w:pPr>
    <w:rPr>
      <w:i/>
      <w:iCs/>
    </w:rPr>
  </w:style>
  <w:style w:type="paragraph" w:styleId="Heading9">
    <w:name w:val="heading 9"/>
    <w:basedOn w:val="Normal"/>
    <w:next w:val="Normal"/>
    <w:link w:val="Heading9Char"/>
    <w:uiPriority w:val="9"/>
    <w:unhideWhenUsed/>
    <w:qFormat/>
    <w:rsid w:val="008E5F2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1DD8"/>
    <w:pPr>
      <w:tabs>
        <w:tab w:val="center" w:pos="4320"/>
        <w:tab w:val="right" w:pos="8640"/>
      </w:tabs>
    </w:pPr>
  </w:style>
  <w:style w:type="paragraph" w:styleId="Footer">
    <w:name w:val="footer"/>
    <w:basedOn w:val="Normal"/>
    <w:link w:val="FooterChar"/>
    <w:uiPriority w:val="99"/>
    <w:rsid w:val="00521DD8"/>
    <w:pPr>
      <w:tabs>
        <w:tab w:val="center" w:pos="4320"/>
        <w:tab w:val="right" w:pos="8640"/>
      </w:tabs>
    </w:pPr>
  </w:style>
  <w:style w:type="paragraph" w:customStyle="1" w:styleId="BodyText21">
    <w:name w:val="Body Text 21"/>
    <w:basedOn w:val="Normal"/>
    <w:rsid w:val="00521DD8"/>
    <w:pPr>
      <w:jc w:val="both"/>
    </w:pPr>
  </w:style>
  <w:style w:type="paragraph" w:styleId="BalloonText">
    <w:name w:val="Balloon Text"/>
    <w:basedOn w:val="Normal"/>
    <w:semiHidden/>
    <w:rsid w:val="00521DD8"/>
    <w:rPr>
      <w:rFonts w:ascii="Tahoma" w:hAnsi="Tahoma"/>
      <w:sz w:val="16"/>
    </w:rPr>
  </w:style>
  <w:style w:type="paragraph" w:styleId="BlockText">
    <w:name w:val="Block Text"/>
    <w:basedOn w:val="Normal"/>
    <w:rsid w:val="00521DD8"/>
    <w:pPr>
      <w:tabs>
        <w:tab w:val="left" w:pos="426"/>
        <w:tab w:val="left" w:pos="993"/>
      </w:tabs>
      <w:ind w:left="-284" w:right="-902"/>
    </w:pPr>
    <w:rPr>
      <w:rFonts w:ascii="Arial" w:hAnsi="Arial"/>
      <w:i/>
    </w:rPr>
  </w:style>
  <w:style w:type="paragraph" w:styleId="BodyText">
    <w:name w:val="Body Text"/>
    <w:basedOn w:val="Normal"/>
    <w:rsid w:val="00521DD8"/>
  </w:style>
  <w:style w:type="character" w:styleId="FootnoteReference">
    <w:name w:val="footnote reference"/>
    <w:basedOn w:val="DefaultParagraphFont"/>
    <w:semiHidden/>
    <w:rsid w:val="00521DD8"/>
    <w:rPr>
      <w:vertAlign w:val="superscript"/>
    </w:rPr>
  </w:style>
  <w:style w:type="paragraph" w:styleId="Title">
    <w:name w:val="Title"/>
    <w:basedOn w:val="Normal"/>
    <w:next w:val="Normal"/>
    <w:link w:val="TitleChar"/>
    <w:uiPriority w:val="10"/>
    <w:qFormat/>
    <w:rsid w:val="008E5F23"/>
    <w:pPr>
      <w:spacing w:before="240" w:after="60"/>
      <w:jc w:val="center"/>
      <w:outlineLvl w:val="0"/>
    </w:pPr>
    <w:rPr>
      <w:rFonts w:ascii="Cambria" w:hAnsi="Cambria"/>
      <w:b/>
      <w:bCs/>
      <w:kern w:val="28"/>
      <w:sz w:val="32"/>
      <w:szCs w:val="32"/>
    </w:rPr>
  </w:style>
  <w:style w:type="paragraph" w:styleId="FootnoteText">
    <w:name w:val="footnote text"/>
    <w:basedOn w:val="Normal"/>
    <w:semiHidden/>
    <w:rsid w:val="00521DD8"/>
  </w:style>
  <w:style w:type="character" w:styleId="PageNumber">
    <w:name w:val="page number"/>
    <w:basedOn w:val="DefaultParagraphFont"/>
    <w:rsid w:val="00521DD8"/>
  </w:style>
  <w:style w:type="character" w:customStyle="1" w:styleId="Heading1Char">
    <w:name w:val="Heading 1 Char"/>
    <w:basedOn w:val="DefaultParagraphFont"/>
    <w:link w:val="Heading1"/>
    <w:uiPriority w:val="9"/>
    <w:rsid w:val="008E5F23"/>
    <w:rPr>
      <w:rFonts w:ascii="Cambria" w:eastAsia="Times New Roman" w:hAnsi="Cambria"/>
      <w:b/>
      <w:bCs/>
      <w:kern w:val="32"/>
      <w:sz w:val="32"/>
      <w:szCs w:val="32"/>
    </w:rPr>
  </w:style>
  <w:style w:type="character" w:customStyle="1" w:styleId="Heading2Char">
    <w:name w:val="Heading 2 Char"/>
    <w:basedOn w:val="DefaultParagraphFont"/>
    <w:link w:val="Heading2"/>
    <w:uiPriority w:val="9"/>
    <w:rsid w:val="008E5F23"/>
    <w:rPr>
      <w:rFonts w:ascii="Cambria" w:eastAsia="Times New Roman" w:hAnsi="Cambria"/>
      <w:b/>
      <w:bCs/>
      <w:i/>
      <w:iCs/>
      <w:sz w:val="28"/>
      <w:szCs w:val="28"/>
    </w:rPr>
  </w:style>
  <w:style w:type="character" w:customStyle="1" w:styleId="Heading3Char">
    <w:name w:val="Heading 3 Char"/>
    <w:basedOn w:val="DefaultParagraphFont"/>
    <w:link w:val="Heading3"/>
    <w:uiPriority w:val="9"/>
    <w:rsid w:val="008E5F23"/>
    <w:rPr>
      <w:rFonts w:ascii="Cambria" w:eastAsia="Times New Roman" w:hAnsi="Cambria"/>
      <w:b/>
      <w:bCs/>
      <w:sz w:val="26"/>
      <w:szCs w:val="26"/>
    </w:rPr>
  </w:style>
  <w:style w:type="character" w:customStyle="1" w:styleId="Heading4Char">
    <w:name w:val="Heading 4 Char"/>
    <w:basedOn w:val="DefaultParagraphFont"/>
    <w:link w:val="Heading4"/>
    <w:uiPriority w:val="9"/>
    <w:rsid w:val="008E5F23"/>
    <w:rPr>
      <w:b/>
      <w:bCs/>
      <w:sz w:val="28"/>
      <w:szCs w:val="28"/>
    </w:rPr>
  </w:style>
  <w:style w:type="character" w:customStyle="1" w:styleId="Heading5Char">
    <w:name w:val="Heading 5 Char"/>
    <w:basedOn w:val="DefaultParagraphFont"/>
    <w:link w:val="Heading5"/>
    <w:uiPriority w:val="9"/>
    <w:rsid w:val="008E5F23"/>
    <w:rPr>
      <w:b/>
      <w:bCs/>
      <w:i/>
      <w:iCs/>
      <w:sz w:val="26"/>
      <w:szCs w:val="26"/>
    </w:rPr>
  </w:style>
  <w:style w:type="character" w:customStyle="1" w:styleId="Heading6Char">
    <w:name w:val="Heading 6 Char"/>
    <w:basedOn w:val="DefaultParagraphFont"/>
    <w:link w:val="Heading6"/>
    <w:uiPriority w:val="9"/>
    <w:rsid w:val="008E5F23"/>
    <w:rPr>
      <w:b/>
      <w:bCs/>
    </w:rPr>
  </w:style>
  <w:style w:type="character" w:customStyle="1" w:styleId="Heading7Char">
    <w:name w:val="Heading 7 Char"/>
    <w:basedOn w:val="DefaultParagraphFont"/>
    <w:link w:val="Heading7"/>
    <w:uiPriority w:val="9"/>
    <w:rsid w:val="008E5F23"/>
    <w:rPr>
      <w:sz w:val="24"/>
      <w:szCs w:val="24"/>
    </w:rPr>
  </w:style>
  <w:style w:type="character" w:customStyle="1" w:styleId="Heading8Char">
    <w:name w:val="Heading 8 Char"/>
    <w:basedOn w:val="DefaultParagraphFont"/>
    <w:link w:val="Heading8"/>
    <w:uiPriority w:val="9"/>
    <w:rsid w:val="008E5F23"/>
    <w:rPr>
      <w:i/>
      <w:iCs/>
      <w:sz w:val="24"/>
      <w:szCs w:val="24"/>
    </w:rPr>
  </w:style>
  <w:style w:type="character" w:customStyle="1" w:styleId="Heading9Char">
    <w:name w:val="Heading 9 Char"/>
    <w:basedOn w:val="DefaultParagraphFont"/>
    <w:link w:val="Heading9"/>
    <w:uiPriority w:val="9"/>
    <w:rsid w:val="008E5F23"/>
    <w:rPr>
      <w:rFonts w:ascii="Cambria" w:eastAsia="Times New Roman" w:hAnsi="Cambria"/>
    </w:rPr>
  </w:style>
  <w:style w:type="character" w:customStyle="1" w:styleId="TitleChar">
    <w:name w:val="Title Char"/>
    <w:basedOn w:val="DefaultParagraphFont"/>
    <w:link w:val="Title"/>
    <w:uiPriority w:val="10"/>
    <w:rsid w:val="008E5F23"/>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8E5F23"/>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8E5F23"/>
    <w:rPr>
      <w:rFonts w:ascii="Cambria" w:eastAsia="Times New Roman" w:hAnsi="Cambria"/>
      <w:sz w:val="24"/>
      <w:szCs w:val="24"/>
    </w:rPr>
  </w:style>
  <w:style w:type="character" w:styleId="Strong">
    <w:name w:val="Strong"/>
    <w:basedOn w:val="DefaultParagraphFont"/>
    <w:uiPriority w:val="22"/>
    <w:qFormat/>
    <w:rsid w:val="008E5F23"/>
    <w:rPr>
      <w:b/>
      <w:bCs/>
    </w:rPr>
  </w:style>
  <w:style w:type="character" w:styleId="Emphasis">
    <w:name w:val="Emphasis"/>
    <w:basedOn w:val="DefaultParagraphFont"/>
    <w:uiPriority w:val="20"/>
    <w:qFormat/>
    <w:rsid w:val="008E5F23"/>
    <w:rPr>
      <w:rFonts w:ascii="Calibri" w:hAnsi="Calibri"/>
      <w:b/>
      <w:i/>
      <w:iCs/>
    </w:rPr>
  </w:style>
  <w:style w:type="paragraph" w:styleId="NoSpacing">
    <w:name w:val="No Spacing"/>
    <w:basedOn w:val="Normal"/>
    <w:uiPriority w:val="1"/>
    <w:qFormat/>
    <w:rsid w:val="008E5F23"/>
    <w:rPr>
      <w:szCs w:val="32"/>
    </w:rPr>
  </w:style>
  <w:style w:type="paragraph" w:styleId="ListParagraph">
    <w:name w:val="List Paragraph"/>
    <w:basedOn w:val="Normal"/>
    <w:uiPriority w:val="34"/>
    <w:qFormat/>
    <w:rsid w:val="008E5F23"/>
    <w:pPr>
      <w:ind w:left="720"/>
      <w:contextualSpacing/>
    </w:pPr>
  </w:style>
  <w:style w:type="paragraph" w:styleId="Quote">
    <w:name w:val="Quote"/>
    <w:basedOn w:val="Normal"/>
    <w:next w:val="Normal"/>
    <w:link w:val="QuoteChar"/>
    <w:uiPriority w:val="29"/>
    <w:qFormat/>
    <w:rsid w:val="008E5F23"/>
    <w:rPr>
      <w:i/>
    </w:rPr>
  </w:style>
  <w:style w:type="character" w:customStyle="1" w:styleId="QuoteChar">
    <w:name w:val="Quote Char"/>
    <w:basedOn w:val="DefaultParagraphFont"/>
    <w:link w:val="Quote"/>
    <w:uiPriority w:val="29"/>
    <w:rsid w:val="008E5F23"/>
    <w:rPr>
      <w:i/>
      <w:sz w:val="24"/>
      <w:szCs w:val="24"/>
    </w:rPr>
  </w:style>
  <w:style w:type="paragraph" w:styleId="IntenseQuote">
    <w:name w:val="Intense Quote"/>
    <w:basedOn w:val="Normal"/>
    <w:next w:val="Normal"/>
    <w:link w:val="IntenseQuoteChar"/>
    <w:uiPriority w:val="30"/>
    <w:qFormat/>
    <w:rsid w:val="008E5F23"/>
    <w:pPr>
      <w:ind w:left="720" w:right="720"/>
    </w:pPr>
    <w:rPr>
      <w:b/>
      <w:i/>
      <w:szCs w:val="22"/>
    </w:rPr>
  </w:style>
  <w:style w:type="character" w:customStyle="1" w:styleId="IntenseQuoteChar">
    <w:name w:val="Intense Quote Char"/>
    <w:basedOn w:val="DefaultParagraphFont"/>
    <w:link w:val="IntenseQuote"/>
    <w:uiPriority w:val="30"/>
    <w:rsid w:val="008E5F23"/>
    <w:rPr>
      <w:b/>
      <w:i/>
      <w:sz w:val="24"/>
    </w:rPr>
  </w:style>
  <w:style w:type="character" w:styleId="SubtleEmphasis">
    <w:name w:val="Subtle Emphasis"/>
    <w:uiPriority w:val="19"/>
    <w:qFormat/>
    <w:rsid w:val="008E5F23"/>
    <w:rPr>
      <w:i/>
      <w:color w:val="5A5A5A"/>
    </w:rPr>
  </w:style>
  <w:style w:type="character" w:styleId="IntenseEmphasis">
    <w:name w:val="Intense Emphasis"/>
    <w:basedOn w:val="DefaultParagraphFont"/>
    <w:uiPriority w:val="21"/>
    <w:qFormat/>
    <w:rsid w:val="008E5F23"/>
    <w:rPr>
      <w:b/>
      <w:i/>
      <w:sz w:val="24"/>
      <w:szCs w:val="24"/>
      <w:u w:val="single"/>
    </w:rPr>
  </w:style>
  <w:style w:type="character" w:styleId="SubtleReference">
    <w:name w:val="Subtle Reference"/>
    <w:basedOn w:val="DefaultParagraphFont"/>
    <w:uiPriority w:val="31"/>
    <w:qFormat/>
    <w:rsid w:val="008E5F23"/>
    <w:rPr>
      <w:sz w:val="24"/>
      <w:szCs w:val="24"/>
      <w:u w:val="single"/>
    </w:rPr>
  </w:style>
  <w:style w:type="character" w:styleId="IntenseReference">
    <w:name w:val="Intense Reference"/>
    <w:basedOn w:val="DefaultParagraphFont"/>
    <w:uiPriority w:val="32"/>
    <w:qFormat/>
    <w:rsid w:val="008E5F23"/>
    <w:rPr>
      <w:b/>
      <w:sz w:val="24"/>
      <w:u w:val="single"/>
    </w:rPr>
  </w:style>
  <w:style w:type="character" w:styleId="BookTitle">
    <w:name w:val="Book Title"/>
    <w:basedOn w:val="DefaultParagraphFont"/>
    <w:uiPriority w:val="33"/>
    <w:qFormat/>
    <w:rsid w:val="008E5F23"/>
    <w:rPr>
      <w:rFonts w:ascii="Cambria" w:eastAsia="Times New Roman" w:hAnsi="Cambria"/>
      <w:b/>
      <w:i/>
      <w:sz w:val="24"/>
      <w:szCs w:val="24"/>
    </w:rPr>
  </w:style>
  <w:style w:type="paragraph" w:styleId="TOCHeading">
    <w:name w:val="TOC Heading"/>
    <w:basedOn w:val="Heading1"/>
    <w:next w:val="Normal"/>
    <w:uiPriority w:val="39"/>
    <w:semiHidden/>
    <w:unhideWhenUsed/>
    <w:qFormat/>
    <w:rsid w:val="008E5F23"/>
    <w:pPr>
      <w:outlineLvl w:val="9"/>
    </w:pPr>
  </w:style>
  <w:style w:type="character" w:styleId="Hyperlink">
    <w:name w:val="Hyperlink"/>
    <w:basedOn w:val="DefaultParagraphFont"/>
    <w:rsid w:val="00E84CA5"/>
    <w:rPr>
      <w:color w:val="0000FF"/>
      <w:u w:val="single"/>
    </w:rPr>
  </w:style>
  <w:style w:type="character" w:styleId="FollowedHyperlink">
    <w:name w:val="FollowedHyperlink"/>
    <w:basedOn w:val="DefaultParagraphFont"/>
    <w:rsid w:val="00D03DA6"/>
    <w:rPr>
      <w:color w:val="800080" w:themeColor="followedHyperlink"/>
      <w:u w:val="single"/>
    </w:rPr>
  </w:style>
  <w:style w:type="character" w:customStyle="1" w:styleId="HeaderChar">
    <w:name w:val="Header Char"/>
    <w:basedOn w:val="DefaultParagraphFont"/>
    <w:link w:val="Header"/>
    <w:rsid w:val="00806CA2"/>
    <w:rPr>
      <w:sz w:val="24"/>
      <w:szCs w:val="24"/>
      <w:lang w:val="fr-FR" w:eastAsia="en-US" w:bidi="en-US"/>
    </w:rPr>
  </w:style>
  <w:style w:type="character" w:customStyle="1" w:styleId="FooterChar">
    <w:name w:val="Footer Char"/>
    <w:basedOn w:val="DefaultParagraphFont"/>
    <w:link w:val="Footer"/>
    <w:uiPriority w:val="99"/>
    <w:rsid w:val="005F41D8"/>
    <w:rPr>
      <w:sz w:val="24"/>
      <w:szCs w:val="24"/>
      <w:lang w:val="fr-FR"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035039">
      <w:bodyDiv w:val="1"/>
      <w:marLeft w:val="0"/>
      <w:marRight w:val="0"/>
      <w:marTop w:val="0"/>
      <w:marBottom w:val="0"/>
      <w:divBdr>
        <w:top w:val="none" w:sz="0" w:space="0" w:color="auto"/>
        <w:left w:val="none" w:sz="0" w:space="0" w:color="auto"/>
        <w:bottom w:val="none" w:sz="0" w:space="0" w:color="auto"/>
        <w:right w:val="none" w:sz="0" w:space="0" w:color="auto"/>
      </w:divBdr>
    </w:div>
    <w:div w:id="644699903">
      <w:bodyDiv w:val="1"/>
      <w:marLeft w:val="0"/>
      <w:marRight w:val="0"/>
      <w:marTop w:val="0"/>
      <w:marBottom w:val="0"/>
      <w:divBdr>
        <w:top w:val="none" w:sz="0" w:space="0" w:color="auto"/>
        <w:left w:val="none" w:sz="0" w:space="0" w:color="auto"/>
        <w:bottom w:val="none" w:sz="0" w:space="0" w:color="auto"/>
        <w:right w:val="none" w:sz="0" w:space="0" w:color="auto"/>
      </w:divBdr>
      <w:divsChild>
        <w:div w:id="1235970266">
          <w:marLeft w:val="0"/>
          <w:marRight w:val="0"/>
          <w:marTop w:val="0"/>
          <w:marBottom w:val="0"/>
          <w:divBdr>
            <w:top w:val="none" w:sz="0" w:space="0" w:color="auto"/>
            <w:left w:val="none" w:sz="0" w:space="0" w:color="auto"/>
            <w:bottom w:val="none" w:sz="0" w:space="0" w:color="auto"/>
            <w:right w:val="none" w:sz="0" w:space="0" w:color="auto"/>
          </w:divBdr>
          <w:divsChild>
            <w:div w:id="848324991">
              <w:marLeft w:val="0"/>
              <w:marRight w:val="0"/>
              <w:marTop w:val="0"/>
              <w:marBottom w:val="0"/>
              <w:divBdr>
                <w:top w:val="none" w:sz="0" w:space="0" w:color="auto"/>
                <w:left w:val="none" w:sz="0" w:space="0" w:color="auto"/>
                <w:bottom w:val="none" w:sz="0" w:space="0" w:color="auto"/>
                <w:right w:val="none" w:sz="0" w:space="0" w:color="auto"/>
              </w:divBdr>
              <w:divsChild>
                <w:div w:id="902761511">
                  <w:marLeft w:val="0"/>
                  <w:marRight w:val="0"/>
                  <w:marTop w:val="0"/>
                  <w:marBottom w:val="0"/>
                  <w:divBdr>
                    <w:top w:val="none" w:sz="0" w:space="0" w:color="auto"/>
                    <w:left w:val="none" w:sz="0" w:space="0" w:color="auto"/>
                    <w:bottom w:val="none" w:sz="0" w:space="0" w:color="auto"/>
                    <w:right w:val="none" w:sz="0" w:space="0" w:color="auto"/>
                  </w:divBdr>
                  <w:divsChild>
                    <w:div w:id="349912850">
                      <w:marLeft w:val="0"/>
                      <w:marRight w:val="0"/>
                      <w:marTop w:val="0"/>
                      <w:marBottom w:val="0"/>
                      <w:divBdr>
                        <w:top w:val="none" w:sz="0" w:space="0" w:color="auto"/>
                        <w:left w:val="none" w:sz="0" w:space="0" w:color="auto"/>
                        <w:bottom w:val="none" w:sz="0" w:space="0" w:color="auto"/>
                        <w:right w:val="none" w:sz="0" w:space="0" w:color="auto"/>
                      </w:divBdr>
                      <w:divsChild>
                        <w:div w:id="529416767">
                          <w:marLeft w:val="0"/>
                          <w:marRight w:val="0"/>
                          <w:marTop w:val="0"/>
                          <w:marBottom w:val="0"/>
                          <w:divBdr>
                            <w:top w:val="none" w:sz="0" w:space="0" w:color="auto"/>
                            <w:left w:val="none" w:sz="0" w:space="0" w:color="auto"/>
                            <w:bottom w:val="none" w:sz="0" w:space="0" w:color="auto"/>
                            <w:right w:val="none" w:sz="0" w:space="0" w:color="auto"/>
                          </w:divBdr>
                          <w:divsChild>
                            <w:div w:id="2043360884">
                              <w:marLeft w:val="0"/>
                              <w:marRight w:val="0"/>
                              <w:marTop w:val="0"/>
                              <w:marBottom w:val="0"/>
                              <w:divBdr>
                                <w:top w:val="none" w:sz="0" w:space="0" w:color="auto"/>
                                <w:left w:val="none" w:sz="0" w:space="0" w:color="auto"/>
                                <w:bottom w:val="none" w:sz="0" w:space="0" w:color="auto"/>
                                <w:right w:val="none" w:sz="0" w:space="0" w:color="auto"/>
                              </w:divBdr>
                              <w:divsChild>
                                <w:div w:id="750394606">
                                  <w:marLeft w:val="0"/>
                                  <w:marRight w:val="0"/>
                                  <w:marTop w:val="0"/>
                                  <w:marBottom w:val="0"/>
                                  <w:divBdr>
                                    <w:top w:val="none" w:sz="0" w:space="0" w:color="auto"/>
                                    <w:left w:val="none" w:sz="0" w:space="0" w:color="auto"/>
                                    <w:bottom w:val="none" w:sz="0" w:space="0" w:color="auto"/>
                                    <w:right w:val="none" w:sz="0" w:space="0" w:color="auto"/>
                                  </w:divBdr>
                                  <w:divsChild>
                                    <w:div w:id="2019964252">
                                      <w:marLeft w:val="0"/>
                                      <w:marRight w:val="0"/>
                                      <w:marTop w:val="0"/>
                                      <w:marBottom w:val="0"/>
                                      <w:divBdr>
                                        <w:top w:val="none" w:sz="0" w:space="0" w:color="auto"/>
                                        <w:left w:val="none" w:sz="0" w:space="0" w:color="auto"/>
                                        <w:bottom w:val="none" w:sz="0" w:space="0" w:color="auto"/>
                                        <w:right w:val="none" w:sz="0" w:space="0" w:color="auto"/>
                                      </w:divBdr>
                                      <w:divsChild>
                                        <w:div w:id="1191071749">
                                          <w:marLeft w:val="0"/>
                                          <w:marRight w:val="0"/>
                                          <w:marTop w:val="0"/>
                                          <w:marBottom w:val="0"/>
                                          <w:divBdr>
                                            <w:top w:val="none" w:sz="0" w:space="0" w:color="auto"/>
                                            <w:left w:val="none" w:sz="0" w:space="0" w:color="auto"/>
                                            <w:bottom w:val="none" w:sz="0" w:space="0" w:color="auto"/>
                                            <w:right w:val="none" w:sz="0" w:space="0" w:color="auto"/>
                                          </w:divBdr>
                                          <w:divsChild>
                                            <w:div w:id="1144858755">
                                              <w:marLeft w:val="0"/>
                                              <w:marRight w:val="0"/>
                                              <w:marTop w:val="0"/>
                                              <w:marBottom w:val="0"/>
                                              <w:divBdr>
                                                <w:top w:val="none" w:sz="0" w:space="0" w:color="auto"/>
                                                <w:left w:val="none" w:sz="0" w:space="0" w:color="auto"/>
                                                <w:bottom w:val="none" w:sz="0" w:space="0" w:color="auto"/>
                                                <w:right w:val="none" w:sz="0" w:space="0" w:color="auto"/>
                                              </w:divBdr>
                                              <w:divsChild>
                                                <w:div w:id="1792088254">
                                                  <w:marLeft w:val="0"/>
                                                  <w:marRight w:val="0"/>
                                                  <w:marTop w:val="0"/>
                                                  <w:marBottom w:val="0"/>
                                                  <w:divBdr>
                                                    <w:top w:val="none" w:sz="0" w:space="0" w:color="auto"/>
                                                    <w:left w:val="none" w:sz="0" w:space="0" w:color="auto"/>
                                                    <w:bottom w:val="none" w:sz="0" w:space="0" w:color="auto"/>
                                                    <w:right w:val="none" w:sz="0" w:space="0" w:color="auto"/>
                                                  </w:divBdr>
                                                  <w:divsChild>
                                                    <w:div w:id="4915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1194479">
      <w:bodyDiv w:val="1"/>
      <w:marLeft w:val="0"/>
      <w:marRight w:val="0"/>
      <w:marTop w:val="0"/>
      <w:marBottom w:val="0"/>
      <w:divBdr>
        <w:top w:val="none" w:sz="0" w:space="0" w:color="auto"/>
        <w:left w:val="none" w:sz="0" w:space="0" w:color="auto"/>
        <w:bottom w:val="none" w:sz="0" w:space="0" w:color="auto"/>
        <w:right w:val="none" w:sz="0" w:space="0" w:color="auto"/>
      </w:divBdr>
    </w:div>
    <w:div w:id="1282419494">
      <w:bodyDiv w:val="1"/>
      <w:marLeft w:val="0"/>
      <w:marRight w:val="0"/>
      <w:marTop w:val="0"/>
      <w:marBottom w:val="0"/>
      <w:divBdr>
        <w:top w:val="none" w:sz="0" w:space="0" w:color="auto"/>
        <w:left w:val="none" w:sz="0" w:space="0" w:color="auto"/>
        <w:bottom w:val="none" w:sz="0" w:space="0" w:color="auto"/>
        <w:right w:val="none" w:sz="0" w:space="0" w:color="auto"/>
      </w:divBdr>
    </w:div>
    <w:div w:id="1574968437">
      <w:bodyDiv w:val="1"/>
      <w:marLeft w:val="0"/>
      <w:marRight w:val="0"/>
      <w:marTop w:val="0"/>
      <w:marBottom w:val="0"/>
      <w:divBdr>
        <w:top w:val="none" w:sz="0" w:space="0" w:color="auto"/>
        <w:left w:val="none" w:sz="0" w:space="0" w:color="auto"/>
        <w:bottom w:val="none" w:sz="0" w:space="0" w:color="auto"/>
        <w:right w:val="none" w:sz="0" w:space="0" w:color="auto"/>
      </w:divBdr>
    </w:div>
    <w:div w:id="1606882038">
      <w:bodyDiv w:val="1"/>
      <w:marLeft w:val="0"/>
      <w:marRight w:val="0"/>
      <w:marTop w:val="0"/>
      <w:marBottom w:val="0"/>
      <w:divBdr>
        <w:top w:val="none" w:sz="0" w:space="0" w:color="auto"/>
        <w:left w:val="none" w:sz="0" w:space="0" w:color="auto"/>
        <w:bottom w:val="none" w:sz="0" w:space="0" w:color="auto"/>
        <w:right w:val="none" w:sz="0" w:space="0" w:color="auto"/>
      </w:divBdr>
    </w:div>
    <w:div w:id="1628513771">
      <w:bodyDiv w:val="1"/>
      <w:marLeft w:val="0"/>
      <w:marRight w:val="0"/>
      <w:marTop w:val="0"/>
      <w:marBottom w:val="0"/>
      <w:divBdr>
        <w:top w:val="none" w:sz="0" w:space="0" w:color="auto"/>
        <w:left w:val="none" w:sz="0" w:space="0" w:color="auto"/>
        <w:bottom w:val="none" w:sz="0" w:space="0" w:color="auto"/>
        <w:right w:val="none" w:sz="0" w:space="0" w:color="auto"/>
      </w:divBdr>
    </w:div>
    <w:div w:id="1875270471">
      <w:bodyDiv w:val="1"/>
      <w:marLeft w:val="0"/>
      <w:marRight w:val="0"/>
      <w:marTop w:val="0"/>
      <w:marBottom w:val="0"/>
      <w:divBdr>
        <w:top w:val="none" w:sz="0" w:space="0" w:color="auto"/>
        <w:left w:val="none" w:sz="0" w:space="0" w:color="auto"/>
        <w:bottom w:val="none" w:sz="0" w:space="0" w:color="auto"/>
        <w:right w:val="none" w:sz="0" w:space="0" w:color="auto"/>
      </w:divBdr>
    </w:div>
    <w:div w:id="1991906811">
      <w:bodyDiv w:val="1"/>
      <w:marLeft w:val="0"/>
      <w:marRight w:val="0"/>
      <w:marTop w:val="0"/>
      <w:marBottom w:val="0"/>
      <w:divBdr>
        <w:top w:val="none" w:sz="0" w:space="0" w:color="auto"/>
        <w:left w:val="none" w:sz="0" w:space="0" w:color="auto"/>
        <w:bottom w:val="none" w:sz="0" w:space="0" w:color="auto"/>
        <w:right w:val="none" w:sz="0" w:space="0" w:color="auto"/>
      </w:divBdr>
    </w:div>
    <w:div w:id="204898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c.europa.eu/trade/policy/in-focus/ceta/index_fr.htm" TargetMode="External"/><Relationship Id="rId18" Type="http://schemas.openxmlformats.org/officeDocument/2006/relationships/hyperlink" Target="http://www.europarl.europa.eu/sides/getDoc.do?pubRef=-//EP//NONSGML+TA+P8-TA-2016-0041+0+DOC+PDF+V0//FR"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fes-europe.eu/attachments/486_FES%20Study%20ISDS%20in%20TTIP%202014.pdf" TargetMode="External"/><Relationship Id="rId7" Type="http://schemas.openxmlformats.org/officeDocument/2006/relationships/styles" Target="styles.xml"/><Relationship Id="rId12" Type="http://schemas.openxmlformats.org/officeDocument/2006/relationships/hyperlink" Target="https://www.wto.org/french/thewto_f/minist_f/mc10_f/mindecision_f.htm" TargetMode="External"/><Relationship Id="rId17" Type="http://schemas.openxmlformats.org/officeDocument/2006/relationships/hyperlink" Target="http://data.consilium.europa.eu/doc/document/ST-6891-2013-ADD-1-DCL-1/fr/pdf" TargetMode="External"/><Relationship Id="rId25" Type="http://schemas.openxmlformats.org/officeDocument/2006/relationships/hyperlink" Target="http://download.ei-ie.org/Docs/WebDepot/TTP_EI_Briefings_fr.pdf" TargetMode="External"/><Relationship Id="rId2" Type="http://schemas.openxmlformats.org/officeDocument/2006/relationships/customXml" Target="../customXml/item2.xml"/><Relationship Id="rId16" Type="http://schemas.openxmlformats.org/officeDocument/2006/relationships/hyperlink" Target="http://trade.ec.europa.eu/doclib/docs/2016/july/tradoc_154824.pdf" TargetMode="External"/><Relationship Id="rId20" Type="http://schemas.openxmlformats.org/officeDocument/2006/relationships/hyperlink" Target="http://www.csee-etuce.org/documents/statements/405-statement-on-investment-protection-in-eu-investment-agreements-2014"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tpp.mfat.govt.nz/text" TargetMode="External"/><Relationship Id="rId5" Type="http://schemas.openxmlformats.org/officeDocument/2006/relationships/customXml" Target="../customXml/item5.xml"/><Relationship Id="rId15" Type="http://schemas.openxmlformats.org/officeDocument/2006/relationships/hyperlink" Target="http://www.s2bnetwork.org/wp-content/uploads/2015/09/De-Ville-2016-CETA-report-bonne-version.pdf" TargetMode="External"/><Relationship Id="rId23" Type="http://schemas.openxmlformats.org/officeDocument/2006/relationships/hyperlink" Target="http://www.europarl.europa.eu/sides/getDoc.do?pubRef=-//EP//NONSGML+TA+P8-TA-2015-0252+0+DOC+PDF+V0//FR"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trade.ec.europa.eu/doclib/docs/2015/january/tradoc_153044.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uroparl.europa.eu/sides/getDoc.do?pubRef=-//EP//NONSGML+TA+P7-TA-2011-0257+0+DOC+PDF+V0//FR" TargetMode="External"/><Relationship Id="rId22" Type="http://schemas.openxmlformats.org/officeDocument/2006/relationships/hyperlink" Target="http://trade.ec.europa.eu/doclib/docs/2016/august/tradoc_154837.pdf"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etuce\Administration\Letterheads\Letterheads%202013-2016\ETUCE%20Letterhead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http://portal/_cts/EIDocument/8b5470c660bc9b5ccustomXsn.xsn</xsnLocation>
  <cached>True</cached>
  <openByDefault>True</openByDefault>
  <xsnScope>http://portal</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IUnit xmlns="db13979b-e751-4565-a77b-71e7edb4f069"/>
    <l360261a294540c48d9b0fdee2fb1d22 xmlns="db13979b-e751-4565-a77b-71e7edb4f069">
      <Terms xmlns="http://schemas.microsoft.com/office/infopath/2007/PartnerControls">
        <TermInfo xmlns="http://schemas.microsoft.com/office/infopath/2007/PartnerControls">
          <TermName xmlns="http://schemas.microsoft.com/office/infopath/2007/PartnerControls">20161025 48th Executive Board meeting,Brussels</TermName>
          <TermId xmlns="http://schemas.microsoft.com/office/infopath/2007/PartnerControls">73da66b9-7c48-4c2d-b38e-453a2a4b0972</TermId>
        </TermInfo>
      </Terms>
    </l360261a294540c48d9b0fdee2fb1d22>
    <EIRegion xmlns="db13979b-e751-4565-a77b-71e7edb4f069"/>
    <AvailableOnWebsite xmlns="db13979b-e751-4565-a77b-71e7edb4f069">false</AvailableOnWebsite>
    <EIOrgan xmlns="db13979b-e751-4565-a77b-71e7edb4f069"/>
    <EI_x0020_Event xmlns="db13979b-e751-4565-a77b-71e7edb4f069" xsi:nil="true"/>
    <kd7281ab553349538e0242a0ee89a9e1 xmlns="db13979b-e751-4565-a77b-71e7edb4f069">
      <Terms xmlns="http://schemas.microsoft.com/office/infopath/2007/PartnerControls">
        <TermInfo xmlns="http://schemas.microsoft.com/office/infopath/2007/PartnerControls">
          <TermName>Trade and education</TermName>
          <TermId>01154d60-20f7-4faf-b870-17a8ae057c28</TermId>
        </TermInfo>
      </Terms>
    </kd7281ab553349538e0242a0ee89a9e1>
    <i64256cf79b641ea809ba8b9a8069568 xmlns="db13979b-e751-4565-a77b-71e7edb4f069">
      <Terms xmlns="http://schemas.microsoft.com/office/infopath/2007/PartnerControls">
        <TermInfo xmlns="http://schemas.microsoft.com/office/infopath/2007/PartnerControls">
          <TermName>WorldWide</TermName>
          <TermId>eeaa6833-785a-407f-99c6-8f29959a896d</TermId>
        </TermInfo>
      </Terms>
    </i64256cf79b641ea809ba8b9a8069568>
    <EITopic xmlns="db13979b-e751-4565-a77b-71e7edb4f069"/>
    <DocumentSource xmlns="db13979b-e751-4565-a77b-71e7edb4f069">1</DocumentSource>
    <DocumentLanguage xmlns="db13979b-e751-4565-a77b-71e7edb4f069">French</DocumentLanguage>
    <o79ce48fd8d44e5eaac3fd0fc82a2951 xmlns="db13979b-e751-4565-a77b-71e7edb4f069">
      <Terms xmlns="http://schemas.microsoft.com/office/infopath/2007/PartnerControls">
        <TermInfo xmlns="http://schemas.microsoft.com/office/infopath/2007/PartnerControls">
          <TermName>Executive Board (EXBO)</TermName>
          <TermId>bc817f2f-a4f9-4bad-a572-1a1f0184f179</TermId>
        </TermInfo>
      </Terms>
    </o79ce48fd8d44e5eaac3fd0fc82a2951>
    <EITermbaseTaxHTField0 xmlns="db13979b-e751-4565-a77b-71e7edb4f069">
      <Terms xmlns="http://schemas.microsoft.com/office/infopath/2007/PartnerControls">
        <TermInfo xmlns="http://schemas.microsoft.com/office/infopath/2007/PartnerControls">
          <TermName>Report</TermName>
          <TermId>d475a245-2452-40c7-942a-599c7e30ec67</TermId>
        </TermInfo>
      </Terms>
    </EITermbaseTaxHTField0>
    <TaxCatchAll xmlns="db13979b-e751-4565-a77b-71e7edb4f069">
      <Value>10</Value>
      <Value>338</Value>
      <Value>359</Value>
      <Value>48</Value>
      <Value>57</Value>
      <Value>45</Value>
    </TaxCatchAll>
    <Date xmlns="db13979b-e751-4565-a77b-71e7edb4f069">2016-10-02T22:00:00+00:00</Date>
    <hd0be951f11940a08013d67eec6505c8 xmlns="db13979b-e751-4565-a77b-71e7edb4f069">
      <Terms xmlns="http://schemas.microsoft.com/office/infopath/2007/PartnerControls">
        <TermInfo xmlns="http://schemas.microsoft.com/office/infopath/2007/PartnerControls">
          <TermName xmlns="http://schemas.microsoft.com/office/infopath/2007/PartnerControls">Education and Employment</TermName>
          <TermId xmlns="http://schemas.microsoft.com/office/infopath/2007/PartnerControls">2d517a96-320f-4f8c-adca-c94582a4be96</TermId>
        </TermInfo>
      </Terms>
    </hd0be951f11940a08013d67eec6505c8>
  </documentManagement>
</p:properties>
</file>

<file path=customXml/item4.xml><?xml version="1.0" encoding="utf-8"?>
<ct:contentTypeSchema xmlns:ct="http://schemas.microsoft.com/office/2006/metadata/contentType" xmlns:ma="http://schemas.microsoft.com/office/2006/metadata/properties/metaAttributes" ct:_="" ma:_="" ma:contentTypeName="EI Document" ma:contentTypeID="0x010100AA2F8202531E2B479DC903BD7BCD5C3F00E04239BAE3CFF643A8203BF81E96DC51" ma:contentTypeVersion="53" ma:contentTypeDescription="" ma:contentTypeScope="" ma:versionID="3ecdb67ee59564c7ec43419591cb38be">
  <xsd:schema xmlns:xsd="http://www.w3.org/2001/XMLSchema" xmlns:xs="http://www.w3.org/2001/XMLSchema" xmlns:p="http://schemas.microsoft.com/office/2006/metadata/properties" xmlns:ns2="db13979b-e751-4565-a77b-71e7edb4f069" targetNamespace="http://schemas.microsoft.com/office/2006/metadata/properties" ma:root="true" ma:fieldsID="68c9f9e723ff3b8d29c1e4b1699411ec" ns2:_="">
    <xsd:import namespace="db13979b-e751-4565-a77b-71e7edb4f069"/>
    <xsd:element name="properties">
      <xsd:complexType>
        <xsd:sequence>
          <xsd:element name="documentManagement">
            <xsd:complexType>
              <xsd:all>
                <xsd:element ref="ns2:Date" minOccurs="0"/>
                <xsd:element ref="ns2:DocumentLanguage" minOccurs="0"/>
                <xsd:element ref="ns2:AvailableOnWebsite" minOccurs="0"/>
                <xsd:element ref="ns2:EIRegion" minOccurs="0"/>
                <xsd:element ref="ns2:EIUnit" minOccurs="0"/>
                <xsd:element ref="ns2:EIOrgan" minOccurs="0"/>
                <xsd:element ref="ns2:EI_x0020_Event" minOccurs="0"/>
                <xsd:element ref="ns2:EITopic" minOccurs="0"/>
                <xsd:element ref="ns2:DocumentSource" minOccurs="0"/>
                <xsd:element ref="ns2:EITermbaseTaxHTField0" minOccurs="0"/>
                <xsd:element ref="ns2:TaxCatchAll" minOccurs="0"/>
                <xsd:element ref="ns2:TaxCatchAllLabel" minOccurs="0"/>
                <xsd:element ref="ns2:l360261a294540c48d9b0fdee2fb1d22" minOccurs="0"/>
                <xsd:element ref="ns2:hd0be951f11940a08013d67eec6505c8" minOccurs="0"/>
                <xsd:element ref="ns2:o79ce48fd8d44e5eaac3fd0fc82a2951" minOccurs="0"/>
                <xsd:element ref="ns2:kd7281ab553349538e0242a0ee89a9e1" minOccurs="0"/>
                <xsd:element ref="ns2:i64256cf79b641ea809ba8b9a806956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3979b-e751-4565-a77b-71e7edb4f069" elementFormDefault="qualified">
    <xsd:import namespace="http://schemas.microsoft.com/office/2006/documentManagement/types"/>
    <xsd:import namespace="http://schemas.microsoft.com/office/infopath/2007/PartnerControls"/>
    <xsd:element name="Date" ma:index="2" nillable="true" ma:displayName="Date" ma:description="EI document date." ma:format="DateOnly" ma:internalName="Date">
      <xsd:simpleType>
        <xsd:restriction base="dms:DateTime"/>
      </xsd:simpleType>
    </xsd:element>
    <xsd:element name="DocumentLanguage" ma:index="5" nillable="true" ma:displayName="Document Language" ma:default="English" ma:format="RadioButtons" ma:internalName="DocumentLanguage">
      <xsd:simpleType>
        <xsd:restriction base="dms:Choice">
          <xsd:enumeration value="English"/>
          <xsd:enumeration value="French"/>
          <xsd:enumeration value="Spanish"/>
          <xsd:enumeration value="Other"/>
          <xsd:enumeration value="Multiple"/>
        </xsd:restriction>
      </xsd:simpleType>
    </xsd:element>
    <xsd:element name="AvailableOnWebsite" ma:index="6" nillable="true" ma:displayName="Available On Website" ma:default="1" ma:description="Make this document available on the public EI website." ma:internalName="AvailableOnWebsite">
      <xsd:simpleType>
        <xsd:restriction base="dms:Boolean"/>
      </xsd:simpleType>
    </xsd:element>
    <xsd:element name="EIRegion" ma:index="7" nillable="true" ma:displayName="EI Region" ma:description="Education International region." ma:hidden="true" ma:list="{29c7dc5d-89a6-4101-a71e-0c6c975a07cf}" ma:internalName="EIRegion" ma:readOnly="false" ma:showField="Title" ma:web="db13979b-e751-4565-a77b-71e7edb4f069">
      <xsd:complexType>
        <xsd:complexContent>
          <xsd:extension base="dms:MultiChoiceLookup">
            <xsd:sequence>
              <xsd:element name="Value" type="dms:Lookup" maxOccurs="unbounded" minOccurs="0" nillable="true"/>
            </xsd:sequence>
          </xsd:extension>
        </xsd:complexContent>
      </xsd:complexType>
    </xsd:element>
    <xsd:element name="EIUnit" ma:index="8" nillable="true" ma:displayName="EI Unit" ma:hidden="true" ma:list="068bb678-3c6d-45ba-97bd-4f06a914f196" ma:internalName="EIUnit" ma:readOnly="false" ma:showField="Title" ma:web="db13979b-e751-4565-a77b-71e7edb4f069">
      <xsd:complexType>
        <xsd:complexContent>
          <xsd:extension base="dms:MultiChoiceLookup">
            <xsd:sequence>
              <xsd:element name="Value" type="dms:Lookup" maxOccurs="unbounded" minOccurs="0" nillable="true"/>
            </xsd:sequence>
          </xsd:extension>
        </xsd:complexContent>
      </xsd:complexType>
    </xsd:element>
    <xsd:element name="EIOrgan" ma:index="9" nillable="true" ma:displayName="EI Group" ma:hidden="true" ma:list="{2698a646-4c05-4ac8-9e4f-4a88bcd5d2e2}" ma:internalName="EIOrgan" ma:readOnly="false" ma:showField="Title" ma:web="db13979b-e751-4565-a77b-71e7edb4f069">
      <xsd:complexType>
        <xsd:complexContent>
          <xsd:extension base="dms:MultiChoiceLookup">
            <xsd:sequence>
              <xsd:element name="Value" type="dms:Lookup" maxOccurs="unbounded" minOccurs="0" nillable="true"/>
            </xsd:sequence>
          </xsd:extension>
        </xsd:complexContent>
      </xsd:complexType>
    </xsd:element>
    <xsd:element name="EI_x0020_Event" ma:index="11" nillable="true" ma:displayName="EI Event" ma:hidden="true" ma:list="{0292d145-1b29-4696-ba3c-d4afe19ee511}" ma:internalName="EI_x0020_Event" ma:readOnly="false" ma:showField="EventTitleForChoiceDropdown" ma:web="db13979b-e751-4565-a77b-71e7edb4f069">
      <xsd:simpleType>
        <xsd:restriction base="dms:Lookup"/>
      </xsd:simpleType>
    </xsd:element>
    <xsd:element name="EITopic" ma:index="12" nillable="true" ma:displayName="EI Topic" ma:hidden="true" ma:list="dd9f5b98-3a89-4125-b977-90d82d0197dd" ma:internalName="EITopic" ma:readOnly="false" ma:showField="Title" ma:web="db13979b-e751-4565-a77b-71e7edb4f069">
      <xsd:complexType>
        <xsd:complexContent>
          <xsd:extension base="dms:MultiChoiceLookup">
            <xsd:sequence>
              <xsd:element name="Value" type="dms:Lookup" maxOccurs="unbounded" minOccurs="0" nillable="true"/>
            </xsd:sequence>
          </xsd:extension>
        </xsd:complexContent>
      </xsd:complexType>
    </xsd:element>
    <xsd:element name="DocumentSource" ma:index="13" nillable="true" ma:displayName="Document Source" ma:description="Organisation which issued the document." ma:list="{49ba241f-8346-4576-b9e1-b1a7b41f86e8}" ma:internalName="DocumentSource" ma:showField="Title" ma:web="db13979b-e751-4565-a77b-71e7edb4f069">
      <xsd:simpleType>
        <xsd:restriction base="dms:Lookup"/>
      </xsd:simpleType>
    </xsd:element>
    <xsd:element name="EITermbaseTaxHTField0" ma:index="19" nillable="true" ma:taxonomy="true" ma:internalName="EITermbaseTaxHTField0" ma:taxonomyFieldName="EITermbase" ma:displayName="EIDocType" ma:readOnly="false" ma:default="" ma:fieldId="{58649bc0-05b1-4c82-b72c-a96912b32633}" ma:taxonomyMulti="true" ma:sspId="0af2f461-2480-4a31-ac78-b054563ee389" ma:termSetId="2591b47b-c34c-4ee1-a350-73f6d52a178b" ma:anchorId="00000000-0000-0000-0000-000000000000" ma:open="true" ma:isKeyword="false">
      <xsd:complexType>
        <xsd:sequence>
          <xsd:element ref="pc:Terms" minOccurs="0" maxOccurs="1"/>
        </xsd:sequence>
      </xsd:complexType>
    </xsd:element>
    <xsd:element name="TaxCatchAll" ma:index="20" nillable="true" ma:displayName="Taxonomy Catch All Column" ma:hidden="true" ma:list="{e31c9898-5599-4d3d-bde2-aae45224e11b}" ma:internalName="TaxCatchAll" ma:showField="CatchAllData" ma:web="db13979b-e751-4565-a77b-71e7edb4f069">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31c9898-5599-4d3d-bde2-aae45224e11b}" ma:internalName="TaxCatchAllLabel" ma:readOnly="true" ma:showField="CatchAllDataLabel" ma:web="db13979b-e751-4565-a77b-71e7edb4f069">
      <xsd:complexType>
        <xsd:complexContent>
          <xsd:extension base="dms:MultiChoiceLookup">
            <xsd:sequence>
              <xsd:element name="Value" type="dms:Lookup" maxOccurs="unbounded" minOccurs="0" nillable="true"/>
            </xsd:sequence>
          </xsd:extension>
        </xsd:complexContent>
      </xsd:complexType>
    </xsd:element>
    <xsd:element name="l360261a294540c48d9b0fdee2fb1d22" ma:index="23" nillable="true" ma:taxonomy="true" ma:internalName="l360261a294540c48d9b0fdee2fb1d22" ma:taxonomyFieldName="EIEvent" ma:displayName="EIEvent" ma:default="" ma:fieldId="{5360261a-2945-40c4-8d9b-0fdee2fb1d22}" ma:taxonomyMulti="true" ma:sspId="0af2f461-2480-4a31-ac78-b054563ee389" ma:termSetId="46d855b6-eb13-4760-91d1-66f27ae7dc32" ma:anchorId="00000000-0000-0000-0000-000000000000" ma:open="true" ma:isKeyword="false">
      <xsd:complexType>
        <xsd:sequence>
          <xsd:element ref="pc:Terms" minOccurs="0" maxOccurs="1"/>
        </xsd:sequence>
      </xsd:complexType>
    </xsd:element>
    <xsd:element name="hd0be951f11940a08013d67eec6505c8" ma:index="25" nillable="true" ma:taxonomy="true" ma:internalName="hd0be951f11940a08013d67eec6505c8" ma:taxonomyFieldName="EIUnit1" ma:displayName="EIUnit" ma:readOnly="false" ma:default="" ma:fieldId="{1d0be951-f119-40a0-8013-d67eec6505c8}" ma:taxonomyMulti="true" ma:sspId="0af2f461-2480-4a31-ac78-b054563ee389" ma:termSetId="5f7ca6b7-bc5d-4a29-b9c5-9d61f96be714" ma:anchorId="00000000-0000-0000-0000-000000000000" ma:open="false" ma:isKeyword="false">
      <xsd:complexType>
        <xsd:sequence>
          <xsd:element ref="pc:Terms" minOccurs="0" maxOccurs="1"/>
        </xsd:sequence>
      </xsd:complexType>
    </xsd:element>
    <xsd:element name="o79ce48fd8d44e5eaac3fd0fc82a2951" ma:index="27" nillable="true" ma:taxonomy="true" ma:internalName="o79ce48fd8d44e5eaac3fd0fc82a2951" ma:taxonomyFieldName="EIGroup" ma:displayName="EIGroup" ma:default="" ma:fieldId="{879ce48f-d8d4-4e5e-aac3-fd0fc82a2951}" ma:taxonomyMulti="true" ma:sspId="0af2f461-2480-4a31-ac78-b054563ee389" ma:termSetId="1e97bc08-ae7e-4277-9be6-12765f62b22d" ma:anchorId="00000000-0000-0000-0000-000000000000" ma:open="false" ma:isKeyword="false">
      <xsd:complexType>
        <xsd:sequence>
          <xsd:element ref="pc:Terms" minOccurs="0" maxOccurs="1"/>
        </xsd:sequence>
      </xsd:complexType>
    </xsd:element>
    <xsd:element name="kd7281ab553349538e0242a0ee89a9e1" ma:index="29" nillable="true" ma:taxonomy="true" ma:internalName="kd7281ab553349538e0242a0ee89a9e1" ma:taxonomyFieldName="EITopic1" ma:displayName="EITopic" ma:default="" ma:fieldId="{4d7281ab-5533-4953-8e02-42a0ee89a9e1}" ma:taxonomyMulti="true" ma:sspId="0af2f461-2480-4a31-ac78-b054563ee389" ma:termSetId="e2436a82-f458-4e28-a4e0-fa06e0b95176" ma:anchorId="00000000-0000-0000-0000-000000000000" ma:open="false" ma:isKeyword="false">
      <xsd:complexType>
        <xsd:sequence>
          <xsd:element ref="pc:Terms" minOccurs="0" maxOccurs="1"/>
        </xsd:sequence>
      </xsd:complexType>
    </xsd:element>
    <xsd:element name="i64256cf79b641ea809ba8b9a8069568" ma:index="31" nillable="true" ma:taxonomy="true" ma:internalName="i64256cf79b641ea809ba8b9a8069568" ma:taxonomyFieldName="EIRegion1" ma:displayName="EIRegion" ma:default="" ma:fieldId="{264256cf-79b6-41ea-809b-a8b9a8069568}" ma:taxonomyMulti="true" ma:sspId="0af2f461-2480-4a31-ac78-b054563ee389" ma:termSetId="126f87e2-8982-4d73-8d0c-1d6ec05017e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1C8E5-E42D-405C-8255-BF0D25D5A15F}"/>
</file>

<file path=customXml/itemProps2.xml><?xml version="1.0" encoding="utf-8"?>
<ds:datastoreItem xmlns:ds="http://schemas.openxmlformats.org/officeDocument/2006/customXml" ds:itemID="{ABCF212D-544F-450B-80EA-8C1A37A072C7}"/>
</file>

<file path=customXml/itemProps3.xml><?xml version="1.0" encoding="utf-8"?>
<ds:datastoreItem xmlns:ds="http://schemas.openxmlformats.org/officeDocument/2006/customXml" ds:itemID="{99E4932D-D60C-4FA5-BD14-66B8642543A8}"/>
</file>

<file path=customXml/itemProps4.xml><?xml version="1.0" encoding="utf-8"?>
<ds:datastoreItem xmlns:ds="http://schemas.openxmlformats.org/officeDocument/2006/customXml" ds:itemID="{E969BF1F-6BB2-4D52-AC5B-56357EDFC42A}"/>
</file>

<file path=customXml/itemProps5.xml><?xml version="1.0" encoding="utf-8"?>
<ds:datastoreItem xmlns:ds="http://schemas.openxmlformats.org/officeDocument/2006/customXml" ds:itemID="{D3A64B97-E481-44DD-AAAA-134856854D72}"/>
</file>

<file path=docProps/app.xml><?xml version="1.0" encoding="utf-8"?>
<Properties xmlns="http://schemas.openxmlformats.org/officeDocument/2006/extended-properties" xmlns:vt="http://schemas.openxmlformats.org/officeDocument/2006/docPropsVTypes">
  <Template>ETUCE Letterhead_EN</Template>
  <TotalTime>0</TotalTime>
  <Pages>6</Pages>
  <Words>3794</Words>
  <Characters>21631</Characters>
  <Application>Microsoft Office Word</Application>
  <DocSecurity>0</DocSecurity>
  <Lines>180</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Education et commerce</vt:lpstr>
      <vt:lpstr>Education and trade</vt:lpstr>
    </vt:vector>
  </TitlesOfParts>
  <Company>Education International</Company>
  <LinksUpToDate>false</LinksUpToDate>
  <CharactersWithSpaces>25375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et commerce</dc:title>
  <dc:subject>04. Rapport d'activités</dc:subject>
  <dc:creator>Louise Hoj.Larsen</dc:creator>
  <cp:lastModifiedBy>Duncan Smith</cp:lastModifiedBy>
  <cp:revision>2</cp:revision>
  <cp:lastPrinted>2016-09-30T12:52:00Z</cp:lastPrinted>
  <dcterms:created xsi:type="dcterms:W3CDTF">2016-10-12T10:13:00Z</dcterms:created>
  <dcterms:modified xsi:type="dcterms:W3CDTF">2016-10-12T10:13:00Z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-1703035330</vt:i4>
  </property>
  <property fmtid="{D5CDD505-2E9C-101B-9397-08002B2CF9AE}" pid="4" name="ContentTypeId">
    <vt:lpwstr>0x010100AA2F8202531E2B479DC903BD7BCD5C3F00E04239BAE3CFF643A8203BF81E96DC51</vt:lpwstr>
  </property>
  <property fmtid="{D5CDD505-2E9C-101B-9397-08002B2CF9AE}" pid="5" name="EITermbase">
    <vt:lpwstr>10;#Report|d475a245-2452-40c7-942a-599c7e30ec67</vt:lpwstr>
  </property>
  <property fmtid="{D5CDD505-2E9C-101B-9397-08002B2CF9AE}" pid="6" name="EIEvent">
    <vt:lpwstr>359;#20161025 48th Executive Board meeting,Brussels|73da66b9-7c48-4c2d-b38e-453a2a4b0972</vt:lpwstr>
  </property>
  <property fmtid="{D5CDD505-2E9C-101B-9397-08002B2CF9AE}" pid="7" name="EIUnit1">
    <vt:lpwstr>45;#Education and Employment|2d517a96-320f-4f8c-adca-c94582a4be96</vt:lpwstr>
  </property>
  <property fmtid="{D5CDD505-2E9C-101B-9397-08002B2CF9AE}" pid="8" name="EIRegion1">
    <vt:lpwstr>48;#WorldWide|eeaa6833-785a-407f-99c6-8f29959a896d</vt:lpwstr>
  </property>
  <property fmtid="{D5CDD505-2E9C-101B-9397-08002B2CF9AE}" pid="9" name="EIGroup">
    <vt:lpwstr>57;#Executive Board (EXBO)|bc817f2f-a4f9-4bad-a572-1a1f0184f179</vt:lpwstr>
  </property>
  <property fmtid="{D5CDD505-2E9C-101B-9397-08002B2CF9AE}" pid="10" name="EITopic1">
    <vt:lpwstr>338;#Trade and education|01154d60-20f7-4faf-b870-17a8ae057c28</vt:lpwstr>
  </property>
</Properties>
</file>