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6F" w:rsidRPr="00B7035F" w:rsidRDefault="00D82CEC" w:rsidP="00B7035F">
      <w:pPr>
        <w:jc w:val="center"/>
        <w:rPr>
          <w:b/>
          <w:sz w:val="36"/>
          <w:lang w:val="en-US"/>
        </w:rPr>
      </w:pPr>
      <w:r w:rsidRPr="00B7035F">
        <w:rPr>
          <w:b/>
          <w:sz w:val="36"/>
          <w:lang w:val="en-US"/>
        </w:rPr>
        <w:t>Key messages on financing for development</w:t>
      </w:r>
    </w:p>
    <w:p w:rsidR="00B7035F" w:rsidRDefault="00B7035F" w:rsidP="00B7035F">
      <w:pPr>
        <w:jc w:val="center"/>
        <w:rPr>
          <w:b/>
          <w:sz w:val="28"/>
          <w:lang w:val="en-US"/>
        </w:rPr>
      </w:pPr>
      <w:r w:rsidRPr="00B7035F">
        <w:rPr>
          <w:b/>
          <w:sz w:val="28"/>
          <w:lang w:val="en-US"/>
        </w:rPr>
        <w:t>Education International</w:t>
      </w:r>
    </w:p>
    <w:p w:rsidR="00B7035F" w:rsidRDefault="00B7035F" w:rsidP="00B7035F">
      <w:pPr>
        <w:rPr>
          <w:lang w:val="en-US"/>
        </w:rPr>
      </w:pPr>
    </w:p>
    <w:p w:rsidR="00CE47C6" w:rsidRPr="00183907" w:rsidRDefault="00BB046F" w:rsidP="00CE47C6">
      <w:pPr>
        <w:pStyle w:val="ListParagraph"/>
        <w:numPr>
          <w:ilvl w:val="0"/>
          <w:numId w:val="1"/>
        </w:numPr>
        <w:rPr>
          <w:b/>
          <w:lang w:val="en-US"/>
        </w:rPr>
      </w:pPr>
      <w:r>
        <w:rPr>
          <w:b/>
        </w:rPr>
        <w:t>A h</w:t>
      </w:r>
      <w:r w:rsidR="00F371E3">
        <w:rPr>
          <w:b/>
        </w:rPr>
        <w:t>uman rights</w:t>
      </w:r>
      <w:r>
        <w:rPr>
          <w:b/>
        </w:rPr>
        <w:t>-based approach</w:t>
      </w:r>
      <w:r w:rsidR="00CE47C6" w:rsidRPr="00183907">
        <w:rPr>
          <w:b/>
          <w:lang w:val="en-US"/>
        </w:rPr>
        <w:t xml:space="preserve">  </w:t>
      </w:r>
    </w:p>
    <w:p w:rsidR="00183907" w:rsidRPr="00F371E3" w:rsidRDefault="00F371E3" w:rsidP="00183907">
      <w:pPr>
        <w:rPr>
          <w:rFonts w:ascii="Calibri" w:eastAsia="Times New Roman" w:hAnsi="Calibri" w:cs="Times New Roman"/>
          <w:color w:val="000000"/>
          <w:shd w:val="clear" w:color="auto" w:fill="FFFFFF"/>
          <w:lang w:eastAsia="en-GB"/>
        </w:rPr>
      </w:pPr>
      <w:r>
        <w:t>The transformative power of the SDGs lies in their ability to integrate the social, environmental and economic needs of the peoples. The rights-based approach is a precondition for an Addis Accord that is fit for purpose</w:t>
      </w:r>
      <w:r w:rsidR="00BB046F">
        <w:t xml:space="preserve"> and in line with the right to development</w:t>
      </w:r>
      <w:r>
        <w:t>. We welcome the pro</w:t>
      </w:r>
      <w:r w:rsidR="00522194">
        <w:t>posed paragraph on decent work</w:t>
      </w:r>
      <w:r>
        <w:t xml:space="preserve">.  </w:t>
      </w:r>
    </w:p>
    <w:p w:rsidR="00CE47C6" w:rsidRPr="00CE47C6" w:rsidRDefault="00ED219E" w:rsidP="00CE47C6">
      <w:pPr>
        <w:pStyle w:val="ListParagraph"/>
        <w:numPr>
          <w:ilvl w:val="0"/>
          <w:numId w:val="1"/>
        </w:numPr>
        <w:rPr>
          <w:b/>
          <w:lang w:val="en-US"/>
        </w:rPr>
      </w:pPr>
      <w:r w:rsidRPr="00183907">
        <w:rPr>
          <w:b/>
          <w:lang w:val="en-US"/>
        </w:rPr>
        <w:t>Coherence with the SDGs</w:t>
      </w:r>
      <w:r w:rsidRPr="00CE47C6">
        <w:rPr>
          <w:b/>
          <w:lang w:val="en-US"/>
        </w:rPr>
        <w:t xml:space="preserve"> </w:t>
      </w:r>
    </w:p>
    <w:p w:rsidR="00F371E3" w:rsidRDefault="00ED219E" w:rsidP="00D661F0">
      <w:pPr>
        <w:rPr>
          <w:lang w:val="en-US"/>
        </w:rPr>
      </w:pPr>
      <w:r>
        <w:rPr>
          <w:lang w:val="en-US"/>
        </w:rPr>
        <w:t>The two agendas should be coherent and the level of ambition of the Addis Accord must match that of the SDGs.</w:t>
      </w:r>
      <w:r w:rsidR="00F371E3">
        <w:rPr>
          <w:lang w:val="en-US"/>
        </w:rPr>
        <w:t xml:space="preserve"> </w:t>
      </w:r>
    </w:p>
    <w:p w:rsidR="00183907" w:rsidRPr="00BE29AA" w:rsidRDefault="00522194" w:rsidP="00CE47C6">
      <w:pPr>
        <w:pStyle w:val="ListParagraph"/>
        <w:numPr>
          <w:ilvl w:val="0"/>
          <w:numId w:val="1"/>
        </w:numPr>
        <w:rPr>
          <w:b/>
          <w:lang w:val="en-US"/>
        </w:rPr>
      </w:pPr>
      <w:r>
        <w:rPr>
          <w:b/>
          <w:lang w:val="en-US"/>
        </w:rPr>
        <w:t>Significantly i</w:t>
      </w:r>
      <w:r w:rsidR="00ED219E" w:rsidRPr="00BE29AA">
        <w:rPr>
          <w:b/>
          <w:lang w:val="en-US"/>
        </w:rPr>
        <w:t>ncrease education financing</w:t>
      </w:r>
      <w:r w:rsidR="00ED219E" w:rsidRPr="00CE47C6">
        <w:rPr>
          <w:b/>
          <w:lang w:val="en-US"/>
        </w:rPr>
        <w:t xml:space="preserve"> </w:t>
      </w:r>
    </w:p>
    <w:p w:rsidR="00CE47C6" w:rsidRPr="00D661F0" w:rsidRDefault="00ED219E" w:rsidP="00D661F0">
      <w:pPr>
        <w:rPr>
          <w:lang w:val="en-US"/>
        </w:rPr>
      </w:pPr>
      <w:r w:rsidRPr="00F371E3">
        <w:rPr>
          <w:lang w:val="en-US"/>
        </w:rPr>
        <w:t>The Addis Accord must com</w:t>
      </w:r>
      <w:bookmarkStart w:id="0" w:name="_GoBack"/>
      <w:bookmarkEnd w:id="0"/>
      <w:r w:rsidRPr="00F371E3">
        <w:rPr>
          <w:lang w:val="en-US"/>
        </w:rPr>
        <w:t>mit to a significant increase in education financing</w:t>
      </w:r>
      <w:r>
        <w:t>, including for the recruitment, development, training and retention of the education workforce in all countries</w:t>
      </w:r>
      <w:r w:rsidRPr="00F371E3">
        <w:rPr>
          <w:lang w:val="en-US"/>
        </w:rPr>
        <w:t xml:space="preserve">. </w:t>
      </w:r>
      <w:r w:rsidR="00522194">
        <w:rPr>
          <w:lang w:val="en-US"/>
        </w:rPr>
        <w:t>As agreed in the Incheon Declaration</w:t>
      </w:r>
      <w:r w:rsidR="00522194">
        <w:rPr>
          <w:rStyle w:val="FootnoteReference"/>
          <w:lang w:val="en-US"/>
        </w:rPr>
        <w:footnoteReference w:id="1"/>
      </w:r>
      <w:r w:rsidR="00522194">
        <w:rPr>
          <w:lang w:val="en-US"/>
        </w:rPr>
        <w:t xml:space="preserve">, </w:t>
      </w:r>
      <w:r w:rsidR="00522194">
        <w:t>governments</w:t>
      </w:r>
      <w:r>
        <w:t xml:space="preserve"> should allocate at least 6% of the GDP and/or at least 20% of the national budget to education. Donors should allocate at least 10 % of ODA to education, with particular attention given to education in emergencies.</w:t>
      </w:r>
      <w:r w:rsidRPr="00D661F0">
        <w:rPr>
          <w:lang w:val="en-US"/>
        </w:rPr>
        <w:t xml:space="preserve"> </w:t>
      </w:r>
      <w:r>
        <w:rPr>
          <w:lang w:val="en-US"/>
        </w:rPr>
        <w:t xml:space="preserve"> </w:t>
      </w:r>
    </w:p>
    <w:p w:rsidR="00D82CEC" w:rsidRPr="00E507A0" w:rsidRDefault="00ED219E" w:rsidP="00D661F0">
      <w:pPr>
        <w:pStyle w:val="ListParagraph"/>
        <w:numPr>
          <w:ilvl w:val="0"/>
          <w:numId w:val="1"/>
        </w:numPr>
        <w:rPr>
          <w:b/>
        </w:rPr>
      </w:pPr>
      <w:r w:rsidRPr="00CE47C6">
        <w:rPr>
          <w:b/>
          <w:lang w:val="en-US"/>
        </w:rPr>
        <w:t>Efforts to increase tax revenue should be linked to increasing the progressivity of taxation</w:t>
      </w:r>
    </w:p>
    <w:p w:rsidR="00F371E3" w:rsidRDefault="00ED219E" w:rsidP="00F371E3">
      <w:r w:rsidRPr="00D661F0">
        <w:rPr>
          <w:lang w:val="en-US"/>
        </w:rPr>
        <w:t>While the long term aim is to have robust publically funded national education system, all efforts to increase public revenue must be in line with the social and environmental aims of the SDGs.</w:t>
      </w:r>
      <w:r>
        <w:rPr>
          <w:lang w:val="en-US"/>
        </w:rPr>
        <w:t xml:space="preserve"> The </w:t>
      </w:r>
      <w:r w:rsidR="00D33542">
        <w:rPr>
          <w:lang w:val="en-US"/>
        </w:rPr>
        <w:t xml:space="preserve">only mention of progressive tax systems must be retained. </w:t>
      </w:r>
    </w:p>
    <w:p w:rsidR="00660438" w:rsidRDefault="00660438" w:rsidP="00D661F0">
      <w:pPr>
        <w:rPr>
          <w:rFonts w:ascii="Calibri" w:eastAsia="Times New Roman" w:hAnsi="Calibri" w:cs="Times New Roman"/>
          <w:b/>
          <w:color w:val="000000"/>
          <w:shd w:val="clear" w:color="auto" w:fill="FFFFFF"/>
          <w:lang w:eastAsia="en-GB"/>
        </w:rPr>
      </w:pPr>
    </w:p>
    <w:p w:rsidR="00CC5B4A" w:rsidRDefault="00F371E3" w:rsidP="00D661F0">
      <w:pPr>
        <w:rPr>
          <w:rFonts w:ascii="Calibri" w:eastAsia="Times New Roman" w:hAnsi="Calibri" w:cs="Times New Roman"/>
          <w:color w:val="000000"/>
          <w:shd w:val="clear" w:color="auto" w:fill="FFFFFF"/>
          <w:lang w:eastAsia="en-GB"/>
        </w:rPr>
      </w:pPr>
      <w:r w:rsidRPr="00D33542">
        <w:rPr>
          <w:rFonts w:ascii="Calibri" w:eastAsia="Times New Roman" w:hAnsi="Calibri" w:cs="Times New Roman"/>
          <w:b/>
          <w:color w:val="000000"/>
          <w:shd w:val="clear" w:color="auto" w:fill="FFFFFF"/>
          <w:lang w:eastAsia="en-GB"/>
        </w:rPr>
        <w:t>Education International, therefore, calls for the following</w:t>
      </w:r>
      <w:r>
        <w:rPr>
          <w:rFonts w:ascii="Calibri" w:eastAsia="Times New Roman" w:hAnsi="Calibri" w:cs="Times New Roman"/>
          <w:color w:val="000000"/>
          <w:shd w:val="clear" w:color="auto" w:fill="FFFFFF"/>
          <w:lang w:eastAsia="en-GB"/>
        </w:rPr>
        <w:t xml:space="preserve">: </w:t>
      </w:r>
    </w:p>
    <w:p w:rsidR="00F371E3" w:rsidRDefault="00F371E3" w:rsidP="00660438">
      <w:pPr>
        <w:ind w:left="720"/>
        <w:rPr>
          <w:rFonts w:ascii="Calibri" w:eastAsia="Times New Roman" w:hAnsi="Calibri" w:cs="Times New Roman"/>
          <w:color w:val="000000"/>
          <w:shd w:val="clear" w:color="auto" w:fill="FFFFFF"/>
          <w:lang w:eastAsia="en-GB"/>
        </w:rPr>
      </w:pPr>
      <w:proofErr w:type="gramStart"/>
      <w:r w:rsidRPr="007D39D4">
        <w:rPr>
          <w:rFonts w:ascii="Calibri" w:eastAsia="Times New Roman" w:hAnsi="Calibri" w:cs="Times New Roman"/>
          <w:b/>
          <w:color w:val="000000"/>
          <w:shd w:val="clear" w:color="auto" w:fill="FFFFFF"/>
          <w:lang w:eastAsia="en-GB"/>
        </w:rPr>
        <w:t>Para 11</w:t>
      </w:r>
      <w:r>
        <w:rPr>
          <w:rFonts w:ascii="Calibri" w:eastAsia="Times New Roman" w:hAnsi="Calibri" w:cs="Times New Roman"/>
          <w:color w:val="000000"/>
          <w:shd w:val="clear" w:color="auto" w:fill="FFFFFF"/>
          <w:lang w:eastAsia="en-GB"/>
        </w:rPr>
        <w:t>.</w:t>
      </w:r>
      <w:proofErr w:type="gramEnd"/>
      <w:r>
        <w:rPr>
          <w:rFonts w:ascii="Calibri" w:eastAsia="Times New Roman" w:hAnsi="Calibri" w:cs="Times New Roman"/>
          <w:color w:val="000000"/>
          <w:shd w:val="clear" w:color="auto" w:fill="FFFFFF"/>
          <w:lang w:eastAsia="en-GB"/>
        </w:rPr>
        <w:t xml:space="preserve"> </w:t>
      </w:r>
      <w:r w:rsidR="007D39D4">
        <w:rPr>
          <w:rFonts w:ascii="Calibri" w:eastAsia="Times New Roman" w:hAnsi="Calibri" w:cs="Times New Roman"/>
          <w:color w:val="000000"/>
          <w:shd w:val="clear" w:color="auto" w:fill="FFFFFF"/>
          <w:lang w:eastAsia="en-GB"/>
        </w:rPr>
        <w:t>Add</w:t>
      </w:r>
      <w:r>
        <w:rPr>
          <w:rFonts w:ascii="Calibri" w:eastAsia="Times New Roman" w:hAnsi="Calibri" w:cs="Times New Roman"/>
          <w:color w:val="000000"/>
          <w:shd w:val="clear" w:color="auto" w:fill="FFFFFF"/>
          <w:lang w:eastAsia="en-GB"/>
        </w:rPr>
        <w:t xml:space="preserve"> </w:t>
      </w:r>
      <w:r w:rsidRPr="007D39D4">
        <w:rPr>
          <w:rFonts w:ascii="Calibri" w:eastAsia="Times New Roman" w:hAnsi="Calibri" w:cs="Times New Roman"/>
          <w:b/>
          <w:color w:val="000000"/>
          <w:u w:val="single"/>
          <w:shd w:val="clear" w:color="auto" w:fill="FFFFFF"/>
          <w:lang w:eastAsia="en-GB"/>
        </w:rPr>
        <w:t>ensure</w:t>
      </w:r>
      <w:r>
        <w:rPr>
          <w:rFonts w:ascii="Calibri" w:eastAsia="Times New Roman" w:hAnsi="Calibri" w:cs="Times New Roman"/>
          <w:color w:val="000000"/>
          <w:shd w:val="clear" w:color="auto" w:fill="FFFFFF"/>
          <w:lang w:eastAsia="en-GB"/>
        </w:rPr>
        <w:t xml:space="preserve"> equitable </w:t>
      </w:r>
      <w:r w:rsidRPr="007D39D4">
        <w:rPr>
          <w:rFonts w:ascii="Calibri" w:eastAsia="Times New Roman" w:hAnsi="Calibri" w:cs="Times New Roman"/>
          <w:b/>
          <w:color w:val="000000"/>
          <w:u w:val="single"/>
          <w:shd w:val="clear" w:color="auto" w:fill="FFFFFF"/>
          <w:lang w:eastAsia="en-GB"/>
        </w:rPr>
        <w:t>quality</w:t>
      </w:r>
      <w:r>
        <w:rPr>
          <w:rFonts w:ascii="Calibri" w:eastAsia="Times New Roman" w:hAnsi="Calibri" w:cs="Times New Roman"/>
          <w:color w:val="000000"/>
          <w:shd w:val="clear" w:color="auto" w:fill="FFFFFF"/>
          <w:lang w:eastAsia="en-GB"/>
        </w:rPr>
        <w:t xml:space="preserve"> education</w:t>
      </w:r>
      <w:r w:rsidR="007D39D4">
        <w:rPr>
          <w:rFonts w:ascii="Calibri" w:eastAsia="Times New Roman" w:hAnsi="Calibri" w:cs="Times New Roman"/>
          <w:color w:val="000000"/>
          <w:shd w:val="clear" w:color="auto" w:fill="FFFFFF"/>
          <w:lang w:eastAsia="en-GB"/>
        </w:rPr>
        <w:t>;</w:t>
      </w:r>
      <w:r>
        <w:rPr>
          <w:rFonts w:ascii="Calibri" w:eastAsia="Times New Roman" w:hAnsi="Calibri" w:cs="Times New Roman"/>
          <w:color w:val="000000"/>
          <w:shd w:val="clear" w:color="auto" w:fill="FFFFFF"/>
          <w:lang w:eastAsia="en-GB"/>
        </w:rPr>
        <w:t xml:space="preserve">  </w:t>
      </w:r>
    </w:p>
    <w:p w:rsidR="00F371E3" w:rsidRDefault="00F371E3" w:rsidP="00660438">
      <w:pPr>
        <w:ind w:left="720"/>
      </w:pPr>
      <w:r w:rsidRPr="007D39D4">
        <w:rPr>
          <w:b/>
        </w:rPr>
        <w:t>Para 17ter</w:t>
      </w:r>
      <w:r>
        <w:t>. Retain paragraph on decent work</w:t>
      </w:r>
      <w:r w:rsidR="007D39D4">
        <w:t>;</w:t>
      </w:r>
      <w:r>
        <w:t xml:space="preserve"> </w:t>
      </w:r>
    </w:p>
    <w:p w:rsidR="00ED219E" w:rsidRPr="00D33542" w:rsidRDefault="00ED219E" w:rsidP="00660438">
      <w:pPr>
        <w:ind w:left="720"/>
      </w:pPr>
      <w:proofErr w:type="gramStart"/>
      <w:r w:rsidRPr="00D33542">
        <w:rPr>
          <w:b/>
        </w:rPr>
        <w:t>Para 19</w:t>
      </w:r>
      <w:r>
        <w:t>.</w:t>
      </w:r>
      <w:proofErr w:type="gramEnd"/>
      <w:r>
        <w:t xml:space="preserve"> Retain</w:t>
      </w:r>
      <w:r w:rsidR="00D33542">
        <w:t xml:space="preserve"> reference to</w:t>
      </w:r>
      <w:r>
        <w:t xml:space="preserve"> </w:t>
      </w:r>
      <w:r w:rsidR="00D33542" w:rsidRPr="00D33542">
        <w:rPr>
          <w:rFonts w:cs="Times New Roman"/>
          <w:b/>
        </w:rPr>
        <w:t>progressive tax systems</w:t>
      </w:r>
      <w:r w:rsidR="00D33542">
        <w:rPr>
          <w:rFonts w:cs="Times New Roman"/>
        </w:rPr>
        <w:t xml:space="preserve">; </w:t>
      </w:r>
    </w:p>
    <w:p w:rsidR="00F371E3" w:rsidRDefault="00F371E3" w:rsidP="00660438">
      <w:pPr>
        <w:ind w:left="720"/>
        <w:rPr>
          <w:rFonts w:ascii="Calibri" w:eastAsia="Times New Roman" w:hAnsi="Calibri" w:cs="Times New Roman"/>
          <w:color w:val="000000"/>
          <w:shd w:val="clear" w:color="auto" w:fill="FFFFFF"/>
          <w:lang w:eastAsia="en-GB"/>
        </w:rPr>
      </w:pPr>
      <w:proofErr w:type="gramStart"/>
      <w:r w:rsidRPr="007D39D4">
        <w:rPr>
          <w:rFonts w:ascii="Calibri" w:eastAsia="Times New Roman" w:hAnsi="Calibri" w:cs="Times New Roman"/>
          <w:b/>
          <w:color w:val="000000"/>
          <w:shd w:val="clear" w:color="auto" w:fill="FFFFFF"/>
          <w:lang w:eastAsia="en-GB"/>
        </w:rPr>
        <w:t>Para 28</w:t>
      </w:r>
      <w:r>
        <w:rPr>
          <w:rFonts w:ascii="Calibri" w:eastAsia="Times New Roman" w:hAnsi="Calibri" w:cs="Times New Roman"/>
          <w:color w:val="000000"/>
          <w:shd w:val="clear" w:color="auto" w:fill="FFFFFF"/>
          <w:lang w:eastAsia="en-GB"/>
        </w:rPr>
        <w:t>.</w:t>
      </w:r>
      <w:proofErr w:type="gramEnd"/>
      <w:r>
        <w:rPr>
          <w:rFonts w:ascii="Calibri" w:eastAsia="Times New Roman" w:hAnsi="Calibri" w:cs="Times New Roman"/>
          <w:color w:val="000000"/>
          <w:shd w:val="clear" w:color="auto" w:fill="FFFFFF"/>
          <w:lang w:eastAsia="en-GB"/>
        </w:rPr>
        <w:t xml:space="preserve"> Retain </w:t>
      </w:r>
      <w:r w:rsidRPr="00CC5B4A">
        <w:t>reference</w:t>
      </w:r>
      <w:r>
        <w:t xml:space="preserve"> to</w:t>
      </w:r>
      <w:r w:rsidRPr="00CC5B4A">
        <w:t xml:space="preserve"> </w:t>
      </w:r>
      <w:r w:rsidRPr="00CC5B4A">
        <w:rPr>
          <w:rFonts w:ascii="Calibri" w:eastAsia="Times New Roman" w:hAnsi="Calibri" w:cs="Times New Roman"/>
          <w:color w:val="000000"/>
          <w:shd w:val="clear" w:color="auto" w:fill="FFFFFF"/>
          <w:lang w:eastAsia="en-GB"/>
        </w:rPr>
        <w:t>ILO Recommendation 202 on Social Protection Floors</w:t>
      </w:r>
      <w:r w:rsidR="007D39D4">
        <w:rPr>
          <w:rFonts w:ascii="Calibri" w:eastAsia="Times New Roman" w:hAnsi="Calibri" w:cs="Times New Roman"/>
          <w:color w:val="000000"/>
          <w:shd w:val="clear" w:color="auto" w:fill="FFFFFF"/>
          <w:lang w:eastAsia="en-GB"/>
        </w:rPr>
        <w:t xml:space="preserve">. Retain </w:t>
      </w:r>
      <w:r w:rsidR="007D39D4" w:rsidRPr="007D39D4">
        <w:rPr>
          <w:rFonts w:ascii="Calibri" w:eastAsia="Times New Roman" w:hAnsi="Calibri" w:cs="Times New Roman"/>
          <w:b/>
          <w:color w:val="000000"/>
          <w:shd w:val="clear" w:color="auto" w:fill="FFFFFF"/>
          <w:lang w:eastAsia="en-GB"/>
        </w:rPr>
        <w:t>nationally appropriate spending targets</w:t>
      </w:r>
      <w:r w:rsidRPr="00CC5B4A">
        <w:rPr>
          <w:rFonts w:ascii="Calibri" w:eastAsia="Times New Roman" w:hAnsi="Calibri" w:cs="Times New Roman"/>
          <w:color w:val="000000"/>
          <w:shd w:val="clear" w:color="auto" w:fill="FFFFFF"/>
          <w:lang w:eastAsia="en-GB"/>
        </w:rPr>
        <w:t xml:space="preserve"> </w:t>
      </w:r>
      <w:r w:rsidR="007D39D4">
        <w:rPr>
          <w:rFonts w:ascii="Calibri" w:eastAsia="Times New Roman" w:hAnsi="Calibri" w:cs="Times New Roman"/>
          <w:color w:val="000000"/>
          <w:shd w:val="clear" w:color="auto" w:fill="FFFFFF"/>
          <w:lang w:eastAsia="en-GB"/>
        </w:rPr>
        <w:t xml:space="preserve">and the references to education; </w:t>
      </w:r>
    </w:p>
    <w:p w:rsidR="00E578B2" w:rsidRDefault="00F371E3" w:rsidP="00660438">
      <w:pPr>
        <w:ind w:left="720"/>
        <w:rPr>
          <w:rFonts w:ascii="Calibri" w:eastAsia="Times New Roman" w:hAnsi="Calibri" w:cs="Times New Roman"/>
          <w:color w:val="000000"/>
          <w:shd w:val="clear" w:color="auto" w:fill="FFFFFF"/>
          <w:lang w:eastAsia="en-GB"/>
        </w:rPr>
      </w:pPr>
      <w:proofErr w:type="gramStart"/>
      <w:r w:rsidRPr="007D39D4">
        <w:rPr>
          <w:rFonts w:ascii="Calibri" w:eastAsia="Times New Roman" w:hAnsi="Calibri" w:cs="Times New Roman"/>
          <w:b/>
          <w:color w:val="000000"/>
          <w:shd w:val="clear" w:color="auto" w:fill="FFFFFF"/>
          <w:lang w:eastAsia="en-GB"/>
        </w:rPr>
        <w:t>Para 36</w:t>
      </w:r>
      <w:r w:rsidRPr="00CC5B4A">
        <w:rPr>
          <w:rFonts w:ascii="Calibri" w:eastAsia="Times New Roman" w:hAnsi="Calibri" w:cs="Times New Roman"/>
          <w:color w:val="000000"/>
          <w:shd w:val="clear" w:color="auto" w:fill="FFFFFF"/>
          <w:lang w:eastAsia="en-GB"/>
        </w:rPr>
        <w:t>.</w:t>
      </w:r>
      <w:proofErr w:type="gramEnd"/>
      <w:r>
        <w:rPr>
          <w:rFonts w:ascii="Calibri" w:eastAsia="Times New Roman" w:hAnsi="Calibri" w:cs="Times New Roman"/>
          <w:color w:val="000000"/>
          <w:shd w:val="clear" w:color="auto" w:fill="FFFFFF"/>
          <w:lang w:eastAsia="en-GB"/>
        </w:rPr>
        <w:t xml:space="preserve"> </w:t>
      </w:r>
      <w:r w:rsidR="007D39D4">
        <w:rPr>
          <w:rFonts w:ascii="Calibri" w:eastAsia="Times New Roman" w:hAnsi="Calibri" w:cs="Times New Roman"/>
          <w:color w:val="000000"/>
          <w:shd w:val="clear" w:color="auto" w:fill="FFFFFF"/>
          <w:lang w:eastAsia="en-GB"/>
        </w:rPr>
        <w:t xml:space="preserve">Retain references to </w:t>
      </w:r>
      <w:r w:rsidR="007D39D4" w:rsidRPr="007D39D4">
        <w:rPr>
          <w:rFonts w:cs="Times New Roman"/>
          <w:b/>
        </w:rPr>
        <w:t>the labour standards of the International Labour Organization and the UN Guiding Principles on Business and Human Rights</w:t>
      </w:r>
      <w:r w:rsidR="007D39D4">
        <w:rPr>
          <w:rFonts w:cs="Times New Roman"/>
        </w:rPr>
        <w:t xml:space="preserve">. We </w:t>
      </w:r>
      <w:r w:rsidR="00ED219E">
        <w:rPr>
          <w:rFonts w:cs="Times New Roman"/>
        </w:rPr>
        <w:t xml:space="preserve">also </w:t>
      </w:r>
      <w:r w:rsidR="007D39D4">
        <w:rPr>
          <w:rFonts w:cs="Times New Roman"/>
        </w:rPr>
        <w:t xml:space="preserve">support the EU proposal to add a reference to </w:t>
      </w:r>
      <w:r w:rsidR="007D39D4" w:rsidRPr="00B2238D">
        <w:rPr>
          <w:rFonts w:cs="Times New Roman"/>
          <w:b/>
        </w:rPr>
        <w:t>the Convention on the Rights of the Child</w:t>
      </w:r>
      <w:r w:rsidR="00ED219E" w:rsidRPr="00ED219E">
        <w:rPr>
          <w:rFonts w:cs="Times New Roman"/>
        </w:rPr>
        <w:t>;</w:t>
      </w:r>
    </w:p>
    <w:p w:rsidR="007D39D4" w:rsidRPr="007D39D4" w:rsidRDefault="007D39D4" w:rsidP="00660438">
      <w:pPr>
        <w:ind w:left="720"/>
        <w:rPr>
          <w:rFonts w:ascii="Calibri" w:eastAsia="Times New Roman" w:hAnsi="Calibri" w:cs="Times New Roman"/>
          <w:color w:val="000000"/>
          <w:shd w:val="clear" w:color="auto" w:fill="FFFFFF"/>
          <w:lang w:eastAsia="en-GB"/>
        </w:rPr>
      </w:pPr>
      <w:proofErr w:type="gramStart"/>
      <w:r w:rsidRPr="007D39D4">
        <w:rPr>
          <w:rFonts w:ascii="Calibri" w:eastAsia="Times New Roman" w:hAnsi="Calibri" w:cs="Times New Roman"/>
          <w:b/>
          <w:color w:val="000000"/>
          <w:shd w:val="clear" w:color="auto" w:fill="FFFFFF"/>
          <w:lang w:eastAsia="en-GB"/>
        </w:rPr>
        <w:lastRenderedPageBreak/>
        <w:t>Para 39</w:t>
      </w:r>
      <w:r>
        <w:rPr>
          <w:rFonts w:ascii="Calibri" w:eastAsia="Times New Roman" w:hAnsi="Calibri" w:cs="Times New Roman"/>
          <w:color w:val="000000"/>
          <w:shd w:val="clear" w:color="auto" w:fill="FFFFFF"/>
          <w:lang w:eastAsia="en-GB"/>
        </w:rPr>
        <w:t>.</w:t>
      </w:r>
      <w:proofErr w:type="gramEnd"/>
      <w:r>
        <w:rPr>
          <w:rFonts w:ascii="Calibri" w:eastAsia="Times New Roman" w:hAnsi="Calibri" w:cs="Times New Roman"/>
          <w:color w:val="000000"/>
          <w:shd w:val="clear" w:color="auto" w:fill="FFFFFF"/>
          <w:lang w:eastAsia="en-GB"/>
        </w:rPr>
        <w:t xml:space="preserve"> </w:t>
      </w:r>
      <w:r>
        <w:rPr>
          <w:rFonts w:cs="Times New Roman"/>
        </w:rPr>
        <w:t xml:space="preserve">We support the language </w:t>
      </w:r>
      <w:r w:rsidR="00D10AE0">
        <w:rPr>
          <w:rFonts w:cs="Times New Roman"/>
        </w:rPr>
        <w:t xml:space="preserve">on remittances </w:t>
      </w:r>
      <w:r>
        <w:rPr>
          <w:rFonts w:cs="Times New Roman"/>
        </w:rPr>
        <w:t xml:space="preserve">proposed by the EU: </w:t>
      </w:r>
      <w:r w:rsidRPr="007D39D4">
        <w:rPr>
          <w:b/>
        </w:rPr>
        <w:t>While not a substitute for government obligation to provide basic services</w:t>
      </w:r>
      <w:r>
        <w:rPr>
          <w:b/>
        </w:rPr>
        <w:t>.</w:t>
      </w:r>
      <w:r>
        <w:rPr>
          <w:rFonts w:ascii="Calibri" w:eastAsia="Times New Roman" w:hAnsi="Calibri" w:cs="Times New Roman"/>
          <w:color w:val="000000"/>
          <w:shd w:val="clear" w:color="auto" w:fill="FFFFFF"/>
          <w:lang w:eastAsia="en-GB"/>
        </w:rPr>
        <w:t xml:space="preserve"> </w:t>
      </w:r>
      <w:r w:rsidR="00D10AE0">
        <w:rPr>
          <w:rFonts w:ascii="Calibri" w:eastAsia="Times New Roman" w:hAnsi="Calibri" w:cs="Times New Roman"/>
          <w:color w:val="000000"/>
          <w:shd w:val="clear" w:color="auto" w:fill="FFFFFF"/>
          <w:lang w:eastAsia="en-GB"/>
        </w:rPr>
        <w:t>Remittances should not be used to purchase public services; d</w:t>
      </w:r>
      <w:r>
        <w:rPr>
          <w:rFonts w:ascii="Calibri" w:eastAsia="Times New Roman" w:hAnsi="Calibri" w:cs="Times New Roman"/>
          <w:color w:val="000000"/>
          <w:shd w:val="clear" w:color="auto" w:fill="FFFFFF"/>
          <w:lang w:eastAsia="en-GB"/>
        </w:rPr>
        <w:t xml:space="preserve">elete </w:t>
      </w:r>
      <w:r w:rsidRPr="007D39D4">
        <w:rPr>
          <w:rFonts w:cs="Times New Roman"/>
          <w:b/>
        </w:rPr>
        <w:t>invest in education, health care and housing</w:t>
      </w:r>
      <w:r w:rsidR="00ED219E" w:rsidRPr="00ED219E">
        <w:rPr>
          <w:rFonts w:cs="Times New Roman"/>
        </w:rPr>
        <w:t>;</w:t>
      </w:r>
      <w:r w:rsidRPr="00ED219E">
        <w:rPr>
          <w:rFonts w:cs="Times New Roman"/>
        </w:rPr>
        <w:t xml:space="preserve"> </w:t>
      </w:r>
    </w:p>
    <w:p w:rsidR="00181195" w:rsidRDefault="00F371E3" w:rsidP="00660438">
      <w:pPr>
        <w:spacing w:before="100" w:beforeAutospacing="1"/>
        <w:ind w:left="720"/>
        <w:rPr>
          <w:color w:val="000000"/>
        </w:rPr>
      </w:pPr>
      <w:proofErr w:type="gramStart"/>
      <w:r w:rsidRPr="007D39D4">
        <w:rPr>
          <w:rFonts w:ascii="Calibri" w:eastAsia="Times New Roman" w:hAnsi="Calibri"/>
          <w:b/>
          <w:color w:val="000000"/>
          <w:shd w:val="clear" w:color="auto" w:fill="FFFFFF"/>
        </w:rPr>
        <w:t>Para 67</w:t>
      </w:r>
      <w:r>
        <w:rPr>
          <w:rFonts w:ascii="Calibri" w:eastAsia="Times New Roman" w:hAnsi="Calibri"/>
          <w:color w:val="000000"/>
          <w:shd w:val="clear" w:color="auto" w:fill="FFFFFF"/>
        </w:rPr>
        <w:t>.</w:t>
      </w:r>
      <w:proofErr w:type="gramEnd"/>
      <w:r>
        <w:rPr>
          <w:rFonts w:ascii="Calibri" w:eastAsia="Times New Roman" w:hAnsi="Calibri"/>
          <w:color w:val="000000"/>
          <w:shd w:val="clear" w:color="auto" w:fill="FFFFFF"/>
        </w:rPr>
        <w:t xml:space="preserve"> We</w:t>
      </w:r>
      <w:r>
        <w:rPr>
          <w:rFonts w:ascii="Calibri" w:eastAsia="Times New Roman" w:hAnsi="Calibri"/>
          <w:color w:val="000000"/>
          <w:u w:val="single"/>
          <w:shd w:val="clear" w:color="auto" w:fill="FFFFFF"/>
        </w:rPr>
        <w:t xml:space="preserve"> </w:t>
      </w:r>
      <w:r w:rsidRPr="00BB046F">
        <w:rPr>
          <w:rFonts w:ascii="Calibri" w:eastAsia="Times New Roman" w:hAnsi="Calibri"/>
          <w:b/>
          <w:color w:val="000000"/>
          <w:u w:val="single"/>
          <w:shd w:val="clear" w:color="auto" w:fill="FFFFFF"/>
        </w:rPr>
        <w:t>reaffirm our obligation to</w:t>
      </w:r>
      <w:r w:rsidRPr="00BB046F">
        <w:rPr>
          <w:rFonts w:ascii="Calibri" w:eastAsia="Times New Roman" w:hAnsi="Calibri"/>
          <w:b/>
          <w:color w:val="000000"/>
          <w:shd w:val="clear" w:color="auto" w:fill="FFFFFF"/>
        </w:rPr>
        <w:t xml:space="preserve"> </w:t>
      </w:r>
      <w:r w:rsidRPr="00BB046F">
        <w:rPr>
          <w:rFonts w:ascii="Calibri" w:eastAsia="Times New Roman" w:hAnsi="Calibri"/>
          <w:b/>
          <w:color w:val="000000"/>
          <w:u w:val="single"/>
          <w:shd w:val="clear" w:color="auto" w:fill="FFFFFF"/>
        </w:rPr>
        <w:t>provide</w:t>
      </w:r>
      <w:r>
        <w:rPr>
          <w:rFonts w:ascii="Calibri" w:eastAsia="Times New Roman" w:hAnsi="Calibri"/>
          <w:color w:val="000000"/>
          <w:u w:val="single"/>
          <w:shd w:val="clear" w:color="auto" w:fill="FFFFFF"/>
        </w:rPr>
        <w:t xml:space="preserve"> </w:t>
      </w:r>
      <w:r>
        <w:rPr>
          <w:rFonts w:ascii="Calibri" w:eastAsia="Times New Roman" w:hAnsi="Calibri"/>
          <w:strike/>
          <w:color w:val="000000"/>
          <w:shd w:val="clear" w:color="auto" w:fill="FFFFFF"/>
        </w:rPr>
        <w:t xml:space="preserve">recognize the importance of delivering </w:t>
      </w:r>
      <w:r>
        <w:rPr>
          <w:rFonts w:ascii="Calibri" w:eastAsia="Times New Roman" w:hAnsi="Calibri"/>
          <w:color w:val="000000"/>
          <w:shd w:val="clear" w:color="auto" w:fill="FFFFFF"/>
        </w:rPr>
        <w:t xml:space="preserve">quality education to all </w:t>
      </w:r>
      <w:r w:rsidRPr="00522194">
        <w:rPr>
          <w:rFonts w:ascii="Calibri" w:eastAsia="Times New Roman" w:hAnsi="Calibri"/>
          <w:color w:val="000000"/>
          <w:shd w:val="clear" w:color="auto" w:fill="FFFFFF"/>
        </w:rPr>
        <w:t>children</w:t>
      </w:r>
      <w:r w:rsidR="00522194" w:rsidRPr="00B377C4">
        <w:rPr>
          <w:rFonts w:ascii="Calibri" w:eastAsia="Times New Roman" w:hAnsi="Calibri"/>
          <w:b/>
          <w:color w:val="000000"/>
          <w:u w:val="single"/>
          <w:shd w:val="clear" w:color="auto" w:fill="FFFFFF"/>
        </w:rPr>
        <w:t>, youth and adults</w:t>
      </w:r>
      <w:r w:rsidR="00522194">
        <w:rPr>
          <w:rFonts w:ascii="Calibri" w:eastAsia="Times New Roman" w:hAnsi="Calibri"/>
          <w:color w:val="000000"/>
          <w:shd w:val="clear" w:color="auto" w:fill="FFFFFF"/>
        </w:rPr>
        <w:t>,</w:t>
      </w:r>
      <w:r w:rsidRPr="00522194">
        <w:rPr>
          <w:rFonts w:ascii="Calibri" w:eastAsia="Times New Roman" w:hAnsi="Calibri"/>
          <w:color w:val="000000"/>
          <w:shd w:val="clear" w:color="auto" w:fill="FFFFFF"/>
        </w:rPr>
        <w:t xml:space="preserve"> </w:t>
      </w:r>
      <w:r>
        <w:rPr>
          <w:rFonts w:ascii="Calibri" w:eastAsia="Times New Roman" w:hAnsi="Calibri"/>
          <w:color w:val="000000"/>
          <w:shd w:val="clear" w:color="auto" w:fill="FFFFFF"/>
        </w:rPr>
        <w:t xml:space="preserve">as a key part of ensuring long-term sustainability of development. This will require </w:t>
      </w:r>
      <w:r w:rsidR="00181195" w:rsidRPr="00F61570">
        <w:rPr>
          <w:bCs/>
        </w:rPr>
        <w:t xml:space="preserve">also </w:t>
      </w:r>
      <w:r>
        <w:rPr>
          <w:rFonts w:ascii="Calibri" w:eastAsia="Times New Roman" w:hAnsi="Calibri"/>
          <w:color w:val="000000"/>
          <w:shd w:val="clear" w:color="auto" w:fill="FFFFFF"/>
        </w:rPr>
        <w:t xml:space="preserve">reaching </w:t>
      </w:r>
      <w:r w:rsidR="00181195" w:rsidRPr="00F61570">
        <w:rPr>
          <w:bCs/>
        </w:rPr>
        <w:t>children</w:t>
      </w:r>
      <w:r w:rsidR="00181195" w:rsidRPr="00F61570">
        <w:t xml:space="preserve"> living in extreme poverty, children with disabilities, migrant and </w:t>
      </w:r>
      <w:r w:rsidR="00181195" w:rsidRPr="00F61570">
        <w:rPr>
          <w:bCs/>
        </w:rPr>
        <w:t>refugee children, and those in and coming from fragile and conflict-effected states</w:t>
      </w:r>
      <w:r>
        <w:rPr>
          <w:rFonts w:ascii="Calibri" w:eastAsia="Times New Roman" w:hAnsi="Calibri"/>
          <w:color w:val="000000"/>
          <w:shd w:val="clear" w:color="auto" w:fill="FFFFFF"/>
        </w:rPr>
        <w:t xml:space="preserve">. </w:t>
      </w:r>
      <w:r w:rsidR="00181195" w:rsidRPr="00F61570">
        <w:t xml:space="preserve">We will </w:t>
      </w:r>
      <w:r w:rsidR="004E434C" w:rsidRPr="00B377C4">
        <w:rPr>
          <w:b/>
          <w:u w:val="single"/>
        </w:rPr>
        <w:t>ensure that</w:t>
      </w:r>
      <w:r w:rsidR="004E434C">
        <w:t xml:space="preserve"> </w:t>
      </w:r>
      <w:r w:rsidR="00181195" w:rsidRPr="004E434C">
        <w:rPr>
          <w:strike/>
        </w:rPr>
        <w:t>scale up international cooperation to allow</w:t>
      </w:r>
      <w:r w:rsidR="00181195" w:rsidRPr="00F61570">
        <w:t xml:space="preserve"> all girls and boys </w:t>
      </w:r>
      <w:r w:rsidR="00181195" w:rsidRPr="004E434C">
        <w:rPr>
          <w:strike/>
        </w:rPr>
        <w:t>to</w:t>
      </w:r>
      <w:r w:rsidR="00181195" w:rsidRPr="00F61570">
        <w:t xml:space="preserve"> complete free, equitable and quality early childhood, primary and secondary education leading to relevant and effective learning outcomes, including through scaling up the Global Partnership for Education (GPE). We commit to </w:t>
      </w:r>
      <w:r w:rsidR="00181195" w:rsidRPr="00BB046F">
        <w:rPr>
          <w:rFonts w:ascii="Calibri" w:eastAsia="Times New Roman" w:hAnsi="Calibri"/>
          <w:b/>
          <w:color w:val="000000"/>
          <w:u w:val="single"/>
          <w:shd w:val="clear" w:color="auto" w:fill="FFFFFF"/>
        </w:rPr>
        <w:t>build and</w:t>
      </w:r>
      <w:r w:rsidR="00181195">
        <w:rPr>
          <w:rFonts w:ascii="Calibri" w:eastAsia="Times New Roman" w:hAnsi="Calibri"/>
          <w:color w:val="000000"/>
          <w:u w:val="single"/>
          <w:shd w:val="clear" w:color="auto" w:fill="FFFFFF"/>
        </w:rPr>
        <w:t xml:space="preserve"> </w:t>
      </w:r>
      <w:r w:rsidR="00181195" w:rsidRPr="00F61570">
        <w:t xml:space="preserve">upgrade education facilities and increase the percentage of qualified teachers </w:t>
      </w:r>
      <w:r w:rsidR="00181195" w:rsidRPr="004E434C">
        <w:rPr>
          <w:strike/>
        </w:rPr>
        <w:t>in developing countries</w:t>
      </w:r>
      <w:r w:rsidR="00181195" w:rsidRPr="00F61570">
        <w:t>, including through international cooperation</w:t>
      </w:r>
      <w:r w:rsidR="00B377C4" w:rsidRPr="00B377C4">
        <w:rPr>
          <w:b/>
          <w:u w:val="single"/>
        </w:rPr>
        <w:t>, ensuring that all learners are taught by well-trained, highly qualified and well-supported teachers</w:t>
      </w:r>
      <w:r w:rsidR="00181195">
        <w:rPr>
          <w:rFonts w:ascii="Calibri" w:eastAsia="Times New Roman" w:hAnsi="Calibri"/>
          <w:color w:val="000000"/>
          <w:shd w:val="clear" w:color="auto" w:fill="FFFFFF"/>
        </w:rPr>
        <w:t>;</w:t>
      </w:r>
    </w:p>
    <w:p w:rsidR="00181195" w:rsidRDefault="00F371E3" w:rsidP="00660438">
      <w:pPr>
        <w:spacing w:before="100" w:beforeAutospacing="1"/>
        <w:ind w:left="720"/>
        <w:rPr>
          <w:rFonts w:cs="Times New Roman"/>
        </w:rPr>
      </w:pPr>
      <w:proofErr w:type="gramStart"/>
      <w:r w:rsidRPr="007D39D4">
        <w:rPr>
          <w:rFonts w:ascii="Calibri" w:eastAsia="Times New Roman" w:hAnsi="Calibri"/>
          <w:b/>
          <w:color w:val="000000"/>
          <w:shd w:val="clear" w:color="auto" w:fill="FFFFFF"/>
        </w:rPr>
        <w:t>Para 107</w:t>
      </w:r>
      <w:r>
        <w:rPr>
          <w:rFonts w:ascii="Calibri" w:eastAsia="Times New Roman" w:hAnsi="Calibri"/>
          <w:color w:val="000000"/>
          <w:shd w:val="clear" w:color="auto" w:fill="FFFFFF"/>
        </w:rPr>
        <w:t>.</w:t>
      </w:r>
      <w:proofErr w:type="gramEnd"/>
      <w:r>
        <w:rPr>
          <w:rFonts w:ascii="Calibri" w:eastAsia="Times New Roman" w:hAnsi="Calibri"/>
          <w:color w:val="000000"/>
          <w:shd w:val="clear" w:color="auto" w:fill="FFFFFF"/>
        </w:rPr>
        <w:t xml:space="preserve"> We agree to adopt science, technology and innovation (STI) strategies as integral elements of our national sustainable development strategies. </w:t>
      </w:r>
      <w:r w:rsidR="00181195" w:rsidRPr="00A0619E">
        <w:rPr>
          <w:rFonts w:cs="Times New Roman"/>
        </w:rPr>
        <w:t xml:space="preserve">We will promote further investment in science, technology, engineering and mathematics (STEM) education, and </w:t>
      </w:r>
      <w:r w:rsidR="00181195" w:rsidRPr="00BB046F">
        <w:rPr>
          <w:rFonts w:ascii="Calibri" w:eastAsia="Times New Roman" w:hAnsi="Calibri"/>
          <w:b/>
          <w:color w:val="000000"/>
          <w:u w:val="single"/>
          <w:shd w:val="clear" w:color="auto" w:fill="FFFFFF"/>
          <w:lang w:val="en-US"/>
        </w:rPr>
        <w:t>ensure equal access for all women and men to quality</w:t>
      </w:r>
      <w:r w:rsidR="00181195">
        <w:rPr>
          <w:rFonts w:ascii="Calibri" w:eastAsia="Times New Roman" w:hAnsi="Calibri"/>
          <w:color w:val="000000"/>
          <w:u w:val="single"/>
          <w:shd w:val="clear" w:color="auto" w:fill="FFFFFF"/>
          <w:lang w:val="en-US"/>
        </w:rPr>
        <w:t xml:space="preserve"> </w:t>
      </w:r>
      <w:r w:rsidR="00181195" w:rsidRPr="00181195">
        <w:rPr>
          <w:rFonts w:cs="Times New Roman"/>
          <w:strike/>
        </w:rPr>
        <w:t>enhance</w:t>
      </w:r>
      <w:r w:rsidR="00181195" w:rsidRPr="00A0619E">
        <w:rPr>
          <w:rFonts w:cs="Times New Roman"/>
        </w:rPr>
        <w:t xml:space="preserve"> technical, vocational and tertiary education and training, </w:t>
      </w:r>
      <w:r w:rsidR="00181195" w:rsidRPr="004E434C">
        <w:rPr>
          <w:rFonts w:cs="Times New Roman"/>
          <w:strike/>
        </w:rPr>
        <w:t xml:space="preserve">ensuring equal access for </w:t>
      </w:r>
      <w:r w:rsidR="00181195" w:rsidRPr="00660438">
        <w:rPr>
          <w:rFonts w:cs="Times New Roman"/>
        </w:rPr>
        <w:t>and</w:t>
      </w:r>
      <w:r w:rsidR="00181195" w:rsidRPr="00A0619E">
        <w:rPr>
          <w:rFonts w:cs="Times New Roman"/>
        </w:rPr>
        <w:t xml:space="preserve"> </w:t>
      </w:r>
      <w:proofErr w:type="spellStart"/>
      <w:r w:rsidR="00181195" w:rsidRPr="00A0619E">
        <w:rPr>
          <w:rFonts w:cs="Times New Roman"/>
        </w:rPr>
        <w:t>encourag</w:t>
      </w:r>
      <w:r w:rsidR="00660438" w:rsidRPr="00660438">
        <w:rPr>
          <w:rFonts w:cs="Times New Roman"/>
          <w:b/>
        </w:rPr>
        <w:t>e</w:t>
      </w:r>
      <w:r w:rsidR="00181195" w:rsidRPr="00660438">
        <w:rPr>
          <w:rFonts w:cs="Times New Roman"/>
          <w:strike/>
        </w:rPr>
        <w:t>ing</w:t>
      </w:r>
      <w:proofErr w:type="spellEnd"/>
      <w:r w:rsidR="00181195" w:rsidRPr="00A0619E">
        <w:rPr>
          <w:rFonts w:cs="Times New Roman"/>
        </w:rPr>
        <w:t xml:space="preserve"> the</w:t>
      </w:r>
      <w:r w:rsidR="00181195" w:rsidRPr="004E434C">
        <w:rPr>
          <w:rFonts w:cs="Times New Roman"/>
          <w:strike/>
        </w:rPr>
        <w:t>ir</w:t>
      </w:r>
      <w:r w:rsidR="00181195" w:rsidRPr="00A0619E">
        <w:rPr>
          <w:rFonts w:cs="Times New Roman"/>
        </w:rPr>
        <w:t xml:space="preserve"> participation </w:t>
      </w:r>
      <w:r w:rsidR="004E434C" w:rsidRPr="004E434C">
        <w:rPr>
          <w:rFonts w:cs="Times New Roman"/>
          <w:b/>
          <w:u w:val="single"/>
        </w:rPr>
        <w:t>of women and girls</w:t>
      </w:r>
      <w:r w:rsidR="004E434C" w:rsidRPr="00A0619E">
        <w:rPr>
          <w:rFonts w:cs="Times New Roman"/>
        </w:rPr>
        <w:t xml:space="preserve"> </w:t>
      </w:r>
      <w:r w:rsidR="00181195" w:rsidRPr="00A0619E">
        <w:rPr>
          <w:rFonts w:cs="Times New Roman"/>
        </w:rPr>
        <w:t xml:space="preserve">in STEM programs. We will increase support for scholarships available to students from developing countries.  We will </w:t>
      </w:r>
      <w:r w:rsidR="00181195" w:rsidRPr="00660438">
        <w:rPr>
          <w:rFonts w:cs="Times New Roman"/>
        </w:rPr>
        <w:t>e</w:t>
      </w:r>
      <w:r w:rsidR="00181195" w:rsidRPr="00A0619E">
        <w:rPr>
          <w:rFonts w:cs="Times New Roman"/>
        </w:rPr>
        <w:t>nhance cooperation to strengthen and internationalize tertiary education systems, and increase access to on-line education at all levels and in all fields.</w:t>
      </w:r>
    </w:p>
    <w:p w:rsidR="00F371E3" w:rsidRPr="00E507A0" w:rsidRDefault="00F371E3" w:rsidP="00660438">
      <w:pPr>
        <w:spacing w:before="100" w:beforeAutospacing="1"/>
        <w:ind w:left="720"/>
        <w:rPr>
          <w:rFonts w:ascii="Calibri" w:eastAsia="Times New Roman" w:hAnsi="Calibri"/>
          <w:color w:val="000000"/>
          <w:shd w:val="clear" w:color="auto" w:fill="FFFFFF"/>
        </w:rPr>
      </w:pPr>
      <w:proofErr w:type="gramStart"/>
      <w:r w:rsidRPr="007D39D4">
        <w:rPr>
          <w:rFonts w:ascii="Calibri" w:eastAsia="Times New Roman" w:hAnsi="Calibri"/>
          <w:b/>
          <w:color w:val="000000"/>
          <w:shd w:val="clear" w:color="auto" w:fill="FFFFFF"/>
        </w:rPr>
        <w:t xml:space="preserve">Para </w:t>
      </w:r>
      <w:r w:rsidRPr="007D39D4">
        <w:rPr>
          <w:rFonts w:ascii="Calibri" w:eastAsia="Times New Roman" w:hAnsi="Calibri" w:cs="Times New Roman"/>
          <w:b/>
          <w:color w:val="000000"/>
          <w:shd w:val="clear" w:color="auto" w:fill="FFFFFF"/>
          <w:lang w:eastAsia="en-GB"/>
        </w:rPr>
        <w:t>108</w:t>
      </w:r>
      <w:r>
        <w:rPr>
          <w:rFonts w:ascii="Calibri" w:eastAsia="Times New Roman" w:hAnsi="Calibri" w:cs="Times New Roman"/>
          <w:color w:val="000000"/>
          <w:shd w:val="clear" w:color="auto" w:fill="FFFFFF"/>
          <w:lang w:eastAsia="en-GB"/>
        </w:rPr>
        <w:t>.</w:t>
      </w:r>
      <w:proofErr w:type="gramEnd"/>
      <w:r w:rsidRPr="00E507A0">
        <w:rPr>
          <w:rFonts w:ascii="Calibri" w:eastAsia="Times New Roman" w:hAnsi="Calibri" w:cs="Times New Roman"/>
          <w:color w:val="000000"/>
          <w:shd w:val="clear" w:color="auto" w:fill="FFFFFF"/>
          <w:lang w:eastAsia="en-GB"/>
        </w:rPr>
        <w:t xml:space="preserve"> </w:t>
      </w:r>
      <w:r>
        <w:rPr>
          <w:rFonts w:ascii="Calibri" w:eastAsia="Times New Roman" w:hAnsi="Calibri" w:cs="Times New Roman"/>
          <w:color w:val="000000"/>
          <w:shd w:val="clear" w:color="auto" w:fill="FFFFFF"/>
          <w:lang w:eastAsia="en-GB"/>
        </w:rPr>
        <w:t>W</w:t>
      </w:r>
      <w:r w:rsidRPr="00E507A0">
        <w:rPr>
          <w:rFonts w:ascii="Calibri" w:eastAsia="Times New Roman" w:hAnsi="Calibri" w:cs="Times New Roman"/>
          <w:color w:val="000000"/>
          <w:shd w:val="clear" w:color="auto" w:fill="FFFFFF"/>
          <w:lang w:eastAsia="en-GB"/>
        </w:rPr>
        <w:t xml:space="preserve">e </w:t>
      </w:r>
      <w:r w:rsidR="00BB046F">
        <w:rPr>
          <w:rFonts w:ascii="Calibri" w:eastAsia="Times New Roman" w:hAnsi="Calibri" w:cs="Times New Roman"/>
          <w:color w:val="000000"/>
          <w:shd w:val="clear" w:color="auto" w:fill="FFFFFF"/>
          <w:lang w:eastAsia="en-GB"/>
        </w:rPr>
        <w:t xml:space="preserve">support adding a </w:t>
      </w:r>
      <w:r w:rsidRPr="00E507A0">
        <w:rPr>
          <w:rFonts w:ascii="Calibri" w:eastAsia="Times New Roman" w:hAnsi="Calibri" w:cs="Times New Roman"/>
          <w:color w:val="000000"/>
          <w:shd w:val="clear" w:color="auto" w:fill="FFFFFF"/>
          <w:lang w:eastAsia="en-GB"/>
        </w:rPr>
        <w:t xml:space="preserve">reference to </w:t>
      </w:r>
      <w:r w:rsidRPr="00BB046F">
        <w:rPr>
          <w:rFonts w:ascii="Calibri" w:eastAsia="Times New Roman" w:hAnsi="Calibri" w:cs="Times New Roman"/>
          <w:b/>
          <w:color w:val="000000"/>
          <w:shd w:val="clear" w:color="auto" w:fill="FFFFFF"/>
          <w:lang w:eastAsia="en-GB"/>
        </w:rPr>
        <w:t>the UNESCO Action Programme for Education for Sustainable Development</w:t>
      </w:r>
      <w:r>
        <w:rPr>
          <w:rFonts w:ascii="Calibri" w:eastAsia="Times New Roman" w:hAnsi="Calibri" w:cs="Times New Roman"/>
          <w:color w:val="000000"/>
          <w:shd w:val="clear" w:color="auto" w:fill="FFFFFF"/>
          <w:lang w:eastAsia="en-GB"/>
        </w:rPr>
        <w:t xml:space="preserve">. </w:t>
      </w:r>
    </w:p>
    <w:p w:rsidR="00F371E3" w:rsidRPr="00BE29AA" w:rsidRDefault="00F371E3" w:rsidP="00D661F0"/>
    <w:sectPr w:rsidR="00F371E3" w:rsidRPr="00BE2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94" w:rsidRDefault="00522194" w:rsidP="00522194">
      <w:pPr>
        <w:spacing w:after="0" w:line="240" w:lineRule="auto"/>
      </w:pPr>
      <w:r>
        <w:separator/>
      </w:r>
    </w:p>
  </w:endnote>
  <w:endnote w:type="continuationSeparator" w:id="0">
    <w:p w:rsidR="00522194" w:rsidRDefault="00522194" w:rsidP="0052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94" w:rsidRDefault="00522194" w:rsidP="00522194">
      <w:pPr>
        <w:spacing w:after="0" w:line="240" w:lineRule="auto"/>
      </w:pPr>
      <w:r>
        <w:separator/>
      </w:r>
    </w:p>
  </w:footnote>
  <w:footnote w:type="continuationSeparator" w:id="0">
    <w:p w:rsidR="00522194" w:rsidRDefault="00522194" w:rsidP="00522194">
      <w:pPr>
        <w:spacing w:after="0" w:line="240" w:lineRule="auto"/>
      </w:pPr>
      <w:r>
        <w:continuationSeparator/>
      </w:r>
    </w:p>
  </w:footnote>
  <w:footnote w:id="1">
    <w:p w:rsidR="00522194" w:rsidRPr="00522194" w:rsidRDefault="00522194">
      <w:pPr>
        <w:pStyle w:val="FootnoteText"/>
        <w:rPr>
          <w:lang w:val="en-US"/>
        </w:rPr>
      </w:pPr>
      <w:r>
        <w:rPr>
          <w:rStyle w:val="FootnoteReference"/>
        </w:rPr>
        <w:footnoteRef/>
      </w:r>
      <w:r>
        <w:t xml:space="preserve"> </w:t>
      </w:r>
      <w:hyperlink r:id="rId1" w:history="1">
        <w:r w:rsidRPr="00297995">
          <w:rPr>
            <w:rStyle w:val="Hyperlink"/>
          </w:rPr>
          <w:t>https://en.unesco.org/world-education-forum-2015/incheon-declaration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60CF"/>
    <w:multiLevelType w:val="hybridMultilevel"/>
    <w:tmpl w:val="64F21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217590"/>
    <w:multiLevelType w:val="hybridMultilevel"/>
    <w:tmpl w:val="956CC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E33B4"/>
    <w:multiLevelType w:val="hybridMultilevel"/>
    <w:tmpl w:val="956CC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EC"/>
    <w:rsid w:val="00062989"/>
    <w:rsid w:val="00150166"/>
    <w:rsid w:val="00181195"/>
    <w:rsid w:val="00183907"/>
    <w:rsid w:val="004E434C"/>
    <w:rsid w:val="00522194"/>
    <w:rsid w:val="00660438"/>
    <w:rsid w:val="007D39D4"/>
    <w:rsid w:val="00890F53"/>
    <w:rsid w:val="00A855F1"/>
    <w:rsid w:val="00A85B6F"/>
    <w:rsid w:val="00B377C4"/>
    <w:rsid w:val="00B53351"/>
    <w:rsid w:val="00B7035F"/>
    <w:rsid w:val="00BB046F"/>
    <w:rsid w:val="00BE29AA"/>
    <w:rsid w:val="00CC5B4A"/>
    <w:rsid w:val="00CE47C6"/>
    <w:rsid w:val="00CF0DBC"/>
    <w:rsid w:val="00D10AE0"/>
    <w:rsid w:val="00D33542"/>
    <w:rsid w:val="00D661F0"/>
    <w:rsid w:val="00D82CEC"/>
    <w:rsid w:val="00D911C1"/>
    <w:rsid w:val="00DC5BEE"/>
    <w:rsid w:val="00E507A0"/>
    <w:rsid w:val="00E578B2"/>
    <w:rsid w:val="00ED219E"/>
    <w:rsid w:val="00F371E3"/>
    <w:rsid w:val="00FE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EC"/>
    <w:pPr>
      <w:ind w:left="720"/>
      <w:contextualSpacing/>
    </w:pPr>
  </w:style>
  <w:style w:type="paragraph" w:styleId="FootnoteText">
    <w:name w:val="footnote text"/>
    <w:basedOn w:val="Normal"/>
    <w:link w:val="FootnoteTextChar"/>
    <w:uiPriority w:val="99"/>
    <w:semiHidden/>
    <w:unhideWhenUsed/>
    <w:rsid w:val="00522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194"/>
    <w:rPr>
      <w:sz w:val="20"/>
      <w:szCs w:val="20"/>
    </w:rPr>
  </w:style>
  <w:style w:type="character" w:styleId="FootnoteReference">
    <w:name w:val="footnote reference"/>
    <w:basedOn w:val="DefaultParagraphFont"/>
    <w:uiPriority w:val="99"/>
    <w:semiHidden/>
    <w:unhideWhenUsed/>
    <w:rsid w:val="00522194"/>
    <w:rPr>
      <w:vertAlign w:val="superscript"/>
    </w:rPr>
  </w:style>
  <w:style w:type="character" w:styleId="Hyperlink">
    <w:name w:val="Hyperlink"/>
    <w:basedOn w:val="DefaultParagraphFont"/>
    <w:uiPriority w:val="99"/>
    <w:unhideWhenUsed/>
    <w:rsid w:val="00522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EC"/>
    <w:pPr>
      <w:ind w:left="720"/>
      <w:contextualSpacing/>
    </w:pPr>
  </w:style>
  <w:style w:type="paragraph" w:styleId="FootnoteText">
    <w:name w:val="footnote text"/>
    <w:basedOn w:val="Normal"/>
    <w:link w:val="FootnoteTextChar"/>
    <w:uiPriority w:val="99"/>
    <w:semiHidden/>
    <w:unhideWhenUsed/>
    <w:rsid w:val="00522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194"/>
    <w:rPr>
      <w:sz w:val="20"/>
      <w:szCs w:val="20"/>
    </w:rPr>
  </w:style>
  <w:style w:type="character" w:styleId="FootnoteReference">
    <w:name w:val="footnote reference"/>
    <w:basedOn w:val="DefaultParagraphFont"/>
    <w:uiPriority w:val="99"/>
    <w:semiHidden/>
    <w:unhideWhenUsed/>
    <w:rsid w:val="00522194"/>
    <w:rPr>
      <w:vertAlign w:val="superscript"/>
    </w:rPr>
  </w:style>
  <w:style w:type="character" w:styleId="Hyperlink">
    <w:name w:val="Hyperlink"/>
    <w:basedOn w:val="DefaultParagraphFont"/>
    <w:uiPriority w:val="99"/>
    <w:unhideWhenUsed/>
    <w:rsid w:val="00522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world-education-forum-2015/incheon-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D2332A5C-FFE6-442B-8546-7E7E10E4DDB9}"/>
</file>

<file path=customXml/itemProps2.xml><?xml version="1.0" encoding="utf-8"?>
<ds:datastoreItem xmlns:ds="http://schemas.openxmlformats.org/officeDocument/2006/customXml" ds:itemID="{AD5EE5A3-57D2-4016-9095-235227D67812}"/>
</file>

<file path=customXml/itemProps3.xml><?xml version="1.0" encoding="utf-8"?>
<ds:datastoreItem xmlns:ds="http://schemas.openxmlformats.org/officeDocument/2006/customXml" ds:itemID="{842FE77F-AED3-41C7-999B-CBCA5E4E5FE5}"/>
</file>

<file path=customXml/itemProps4.xml><?xml version="1.0" encoding="utf-8"?>
<ds:datastoreItem xmlns:ds="http://schemas.openxmlformats.org/officeDocument/2006/customXml" ds:itemID="{AB152E46-0396-49CE-A38E-205AC2A15B41}"/>
</file>

<file path=customXml/itemProps5.xml><?xml version="1.0" encoding="utf-8"?>
<ds:datastoreItem xmlns:ds="http://schemas.openxmlformats.org/officeDocument/2006/customXml" ds:itemID="{56A2E3B5-127D-4548-B864-6592B1253AA4}"/>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Edcuation International</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Wulff</dc:creator>
  <cp:lastModifiedBy>Antonia Wulff</cp:lastModifiedBy>
  <cp:revision>2</cp:revision>
  <cp:lastPrinted>2015-06-12T09:48:00Z</cp:lastPrinted>
  <dcterms:created xsi:type="dcterms:W3CDTF">2015-06-12T12:22:00Z</dcterms:created>
  <dcterms:modified xsi:type="dcterms:W3CDTF">2015-06-12T12:22:00Z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906489535</vt:i4>
  </property>
  <property fmtid="{D5CDD505-2E9C-101B-9397-08002B2CF9AE}" pid="3" name="_NewReviewCycle">
    <vt:lpwstr/>
  </property>
  <property fmtid="{D5CDD505-2E9C-101B-9397-08002B2CF9AE}" pid="4" name="_EmailSubject">
    <vt:lpwstr>Activist mailing on post2015</vt:lpwstr>
  </property>
  <property fmtid="{D5CDD505-2E9C-101B-9397-08002B2CF9AE}" pid="5" name="_AuthorEmail">
    <vt:lpwstr>Antonia.Wulff@ei-ie.org</vt:lpwstr>
  </property>
  <property fmtid="{D5CDD505-2E9C-101B-9397-08002B2CF9AE}" pid="6" name="_AuthorEmailDisplayName">
    <vt:lpwstr>Antonia Wulff</vt:lpwstr>
  </property>
  <property fmtid="{D5CDD505-2E9C-101B-9397-08002B2CF9AE}" pid="7" name="_PreviousAdHocReviewCycleID">
    <vt:i4>906489535</vt:i4>
  </property>
  <property fmtid="{D5CDD505-2E9C-101B-9397-08002B2CF9AE}" pid="8" name="ContentTypeId">
    <vt:lpwstr>0x010100AA2F8202531E2B479DC903BD7BCD5C3F00E04239BAE3CFF643A8203BF81E96DC51</vt:lpwstr>
  </property>
</Properties>
</file>